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left="5103"/>
        <w:jc w:val="both"/>
        <w:rPr>
          <w:b/>
          <w:sz w:val="26"/>
          <w:szCs w:val="26"/>
        </w:rPr>
      </w:pPr>
      <w:r>
        <w:rPr>
          <w:sz w:val="26"/>
          <w:szCs w:val="26"/>
        </w:rPr>
        <w:t xml:space="preserve">Додаток  </w:t>
      </w:r>
      <w:r>
        <w:rPr>
          <w:sz w:val="26"/>
          <w:szCs w:val="26"/>
        </w:rPr>
        <w:t xml:space="preserve">4</w:t>
      </w:r>
      <w:r>
        <w:rPr>
          <w:b/>
          <w:sz w:val="26"/>
          <w:szCs w:val="26"/>
        </w:rPr>
        <w:t xml:space="preserve"> </w:t>
      </w:r>
      <w:r>
        <w:rPr>
          <w:b/>
          <w:sz w:val="26"/>
          <w:szCs w:val="26"/>
        </w:rPr>
      </w:r>
    </w:p>
    <w:p>
      <w:pPr>
        <w:pBdr/>
        <w:spacing/>
        <w:ind w:left="5103"/>
        <w:jc w:val="both"/>
        <w:rPr>
          <w:sz w:val="26"/>
          <w:szCs w:val="26"/>
        </w:rPr>
      </w:pPr>
      <w:r>
        <w:rPr>
          <w:sz w:val="26"/>
          <w:szCs w:val="26"/>
        </w:rPr>
        <w:t xml:space="preserve">до</w:t>
      </w:r>
      <w:r>
        <w:rPr>
          <w:b/>
          <w:sz w:val="26"/>
          <w:szCs w:val="26"/>
        </w:rPr>
        <w:t xml:space="preserve"> </w:t>
      </w:r>
      <w:r>
        <w:rPr>
          <w:sz w:val="26"/>
          <w:szCs w:val="26"/>
        </w:rPr>
        <w:t xml:space="preserve">обласної Програми підтримки</w:t>
      </w:r>
      <w:r>
        <w:rPr>
          <w:sz w:val="26"/>
          <w:szCs w:val="26"/>
        </w:rPr>
      </w:r>
    </w:p>
    <w:p>
      <w:pPr>
        <w:pBdr/>
        <w:spacing/>
        <w:ind w:left="5103"/>
        <w:jc w:val="both"/>
        <w:rPr>
          <w:sz w:val="26"/>
          <w:szCs w:val="26"/>
        </w:rPr>
      </w:pPr>
      <w:r>
        <w:rPr>
          <w:sz w:val="26"/>
          <w:szCs w:val="26"/>
        </w:rPr>
        <w:t xml:space="preserve">індивідуального житлового будівництва та розвитку особистого селянського господарства «Власний дім»</w:t>
      </w:r>
      <w:r>
        <w:rPr>
          <w:sz w:val="26"/>
          <w:szCs w:val="26"/>
        </w:rPr>
        <w:t xml:space="preserve"> </w:t>
      </w:r>
      <w:r>
        <w:rPr>
          <w:sz w:val="26"/>
          <w:szCs w:val="26"/>
        </w:rPr>
        <w:t xml:space="preserve">на 2021 – 2027 роки</w:t>
      </w:r>
      <w:r>
        <w:rPr>
          <w:sz w:val="26"/>
          <w:szCs w:val="26"/>
        </w:rPr>
      </w:r>
    </w:p>
    <w:p>
      <w:pPr>
        <w:pBdr/>
        <w:spacing/>
        <w:ind w:left="5103"/>
        <w:jc w:val="both"/>
        <w:rPr>
          <w:sz w:val="26"/>
          <w:szCs w:val="26"/>
        </w:rPr>
      </w:pPr>
      <w:r>
        <w:rPr>
          <w:sz w:val="26"/>
          <w:szCs w:val="26"/>
        </w:rPr>
        <w:t xml:space="preserve">(</w:t>
      </w:r>
      <w:r>
        <w:rPr>
          <w:sz w:val="26"/>
          <w:szCs w:val="26"/>
        </w:rPr>
        <w:t xml:space="preserve">у</w:t>
      </w:r>
      <w:r>
        <w:rPr>
          <w:sz w:val="26"/>
          <w:szCs w:val="26"/>
        </w:rPr>
        <w:t xml:space="preserve"> редакції </w:t>
      </w:r>
      <w:r>
        <w:rPr>
          <w:sz w:val="26"/>
          <w:szCs w:val="26"/>
        </w:rPr>
        <w:t xml:space="preserve">розпорядження начальника Чернігівської обласної військової адміністрації </w:t>
      </w:r>
      <w:r>
        <w:rPr>
          <w:sz w:val="26"/>
          <w:szCs w:val="26"/>
        </w:rPr>
      </w:r>
    </w:p>
    <w:p>
      <w:pPr>
        <w:pBdr/>
        <w:spacing/>
        <w:ind w:left="5103"/>
        <w:jc w:val="both"/>
        <w:rPr>
          <w:b/>
          <w:sz w:val="26"/>
          <w:szCs w:val="26"/>
        </w:rPr>
      </w:pPr>
      <w:r>
        <w:rPr>
          <w:sz w:val="26"/>
          <w:szCs w:val="26"/>
        </w:rPr>
        <w:t xml:space="preserve">___</w:t>
      </w:r>
      <w:r>
        <w:rPr>
          <w:sz w:val="26"/>
          <w:szCs w:val="26"/>
        </w:rPr>
        <w:t xml:space="preserve">_____</w:t>
      </w:r>
      <w:r>
        <w:rPr>
          <w:sz w:val="26"/>
          <w:szCs w:val="26"/>
        </w:rPr>
        <w:t xml:space="preserve">_____</w:t>
      </w:r>
      <w:r>
        <w:rPr>
          <w:sz w:val="26"/>
          <w:szCs w:val="26"/>
        </w:rPr>
        <w:t xml:space="preserve">__ </w:t>
      </w:r>
      <w:r>
        <w:rPr>
          <w:sz w:val="26"/>
          <w:szCs w:val="26"/>
        </w:rPr>
        <w:t xml:space="preserve">2025 року №</w:t>
      </w:r>
      <w:r>
        <w:rPr>
          <w:sz w:val="26"/>
          <w:szCs w:val="26"/>
        </w:rPr>
        <w:t xml:space="preserve"> </w:t>
      </w:r>
      <w:r>
        <w:rPr>
          <w:sz w:val="26"/>
          <w:szCs w:val="26"/>
        </w:rPr>
        <w:t xml:space="preserve">_______</w:t>
      </w:r>
      <w:r>
        <w:rPr>
          <w:sz w:val="26"/>
          <w:szCs w:val="26"/>
        </w:rPr>
        <w:t xml:space="preserve">)</w:t>
      </w:r>
      <w:r>
        <w:rPr>
          <w:b/>
          <w:sz w:val="26"/>
          <w:szCs w:val="26"/>
        </w:rPr>
      </w:r>
    </w:p>
    <w:p>
      <w:pPr>
        <w:pBdr/>
        <w:spacing/>
        <w:ind w:firstLine="709"/>
        <w:jc w:val="center"/>
        <w:rPr>
          <w:b/>
          <w:sz w:val="28"/>
          <w:szCs w:val="28"/>
        </w:rPr>
      </w:pPr>
      <w:r>
        <w:rPr>
          <w:b/>
          <w:sz w:val="28"/>
          <w:szCs w:val="28"/>
        </w:rPr>
      </w:r>
      <w:r>
        <w:rPr>
          <w:b/>
          <w:sz w:val="28"/>
          <w:szCs w:val="28"/>
        </w:rPr>
      </w:r>
    </w:p>
    <w:p>
      <w:pPr>
        <w:pBdr/>
        <w:spacing/>
        <w:ind w:firstLine="709"/>
        <w:jc w:val="center"/>
        <w:rPr>
          <w:b/>
          <w:sz w:val="28"/>
          <w:szCs w:val="28"/>
        </w:rPr>
      </w:pPr>
      <w:r>
        <w:rPr>
          <w:b/>
          <w:sz w:val="28"/>
          <w:szCs w:val="28"/>
        </w:rPr>
      </w:r>
      <w:r>
        <w:rPr>
          <w:b/>
          <w:sz w:val="28"/>
          <w:szCs w:val="28"/>
        </w:rPr>
      </w:r>
    </w:p>
    <w:p>
      <w:pPr>
        <w:pBdr/>
        <w:tabs>
          <w:tab w:val="left" w:leader="none" w:pos="993"/>
        </w:tabs>
        <w:spacing/>
        <w:ind/>
        <w:jc w:val="center"/>
        <w:rPr>
          <w:b/>
          <w:bCs/>
          <w:sz w:val="28"/>
          <w:szCs w:val="28"/>
        </w:rPr>
      </w:pPr>
      <w:r>
        <w:rPr>
          <w:b/>
          <w:bCs/>
          <w:sz w:val="28"/>
          <w:szCs w:val="28"/>
        </w:rPr>
        <w:t xml:space="preserve">Правила </w:t>
      </w:r>
      <w:r>
        <w:rPr>
          <w:b/>
          <w:bCs/>
          <w:sz w:val="28"/>
          <w:szCs w:val="28"/>
        </w:rPr>
      </w:r>
    </w:p>
    <w:p>
      <w:pPr>
        <w:pBdr/>
        <w:tabs>
          <w:tab w:val="left" w:leader="none" w:pos="993"/>
        </w:tabs>
        <w:spacing/>
        <w:ind/>
        <w:jc w:val="center"/>
        <w:rPr>
          <w:b/>
          <w:sz w:val="28"/>
          <w:szCs w:val="28"/>
        </w:rPr>
      </w:pPr>
      <w:r>
        <w:rPr>
          <w:b/>
          <w:bCs/>
          <w:sz w:val="28"/>
          <w:szCs w:val="28"/>
        </w:rPr>
        <w:t xml:space="preserve">надання пільгових довгострокових кредитів жителям малих міст Чернігівської області </w:t>
      </w:r>
      <w:r>
        <w:rPr>
          <w:b/>
          <w:bCs/>
          <w:sz w:val="28"/>
        </w:rPr>
        <w:t xml:space="preserve">за програмою «Власний дім»</w:t>
      </w:r>
      <w:r>
        <w:rPr>
          <w:b/>
          <w:sz w:val="28"/>
          <w:szCs w:val="28"/>
        </w:rPr>
        <w:t xml:space="preserve"> </w:t>
      </w:r>
      <w:r>
        <w:rPr>
          <w:b/>
          <w:sz w:val="28"/>
          <w:szCs w:val="28"/>
        </w:rPr>
      </w:r>
    </w:p>
    <w:p>
      <w:pPr>
        <w:pBdr/>
        <w:tabs>
          <w:tab w:val="left" w:leader="none" w:pos="993"/>
        </w:tabs>
        <w:spacing w:before="60"/>
        <w:ind/>
        <w:jc w:val="center"/>
        <w:rPr>
          <w:sz w:val="28"/>
          <w:szCs w:val="28"/>
        </w:rPr>
      </w:pPr>
      <w:r>
        <w:rPr>
          <w:sz w:val="28"/>
          <w:szCs w:val="28"/>
        </w:rPr>
      </w:r>
      <w:r>
        <w:rPr>
          <w:sz w:val="28"/>
          <w:szCs w:val="28"/>
        </w:rPr>
      </w:r>
    </w:p>
    <w:p>
      <w:pPr>
        <w:pBdr/>
        <w:tabs>
          <w:tab w:val="left" w:leader="none" w:pos="993"/>
        </w:tabs>
        <w:spacing/>
        <w:ind w:firstLine="709"/>
        <w:jc w:val="both"/>
        <w:rPr>
          <w:sz w:val="28"/>
          <w:szCs w:val="28"/>
        </w:rPr>
      </w:pPr>
      <w:r>
        <w:rPr>
          <w:sz w:val="28"/>
          <w:szCs w:val="28"/>
        </w:rPr>
      </w:r>
      <w:r>
        <w:rPr>
          <w:sz w:val="28"/>
          <w:szCs w:val="28"/>
        </w:rPr>
      </w:r>
    </w:p>
    <w:p>
      <w:pPr>
        <w:pStyle w:val="897"/>
        <w:pBdr/>
        <w:spacing/>
        <w:ind w:left="1069"/>
        <w:jc w:val="center"/>
        <w:rPr>
          <w:b/>
          <w:bCs/>
          <w:iCs/>
          <w:sz w:val="28"/>
          <w:szCs w:val="28"/>
        </w:rPr>
      </w:pPr>
      <w:r>
        <w:rPr>
          <w:b/>
          <w:bCs/>
          <w:iCs/>
          <w:sz w:val="28"/>
          <w:szCs w:val="28"/>
          <w:lang w:val="en-US"/>
        </w:rPr>
        <w:t xml:space="preserve">I</w:t>
      </w:r>
      <w:r>
        <w:rPr>
          <w:b/>
          <w:bCs/>
          <w:iCs/>
          <w:sz w:val="28"/>
          <w:szCs w:val="28"/>
          <w:lang w:val="ru-RU"/>
        </w:rPr>
        <w:t xml:space="preserve">.</w:t>
      </w:r>
      <w:r>
        <w:rPr>
          <w:b/>
          <w:bCs/>
          <w:iCs/>
          <w:sz w:val="28"/>
          <w:szCs w:val="28"/>
          <w:lang w:val="en-US"/>
        </w:rPr>
        <w:t xml:space="preserve"> </w:t>
      </w:r>
      <w:r>
        <w:rPr>
          <w:b/>
          <w:bCs/>
          <w:iCs/>
          <w:sz w:val="28"/>
          <w:szCs w:val="28"/>
        </w:rPr>
        <w:t xml:space="preserve">Загальні положення</w:t>
      </w:r>
      <w:r>
        <w:rPr>
          <w:b/>
          <w:bCs/>
          <w:iCs/>
          <w:sz w:val="28"/>
          <w:szCs w:val="28"/>
        </w:rPr>
      </w:r>
    </w:p>
    <w:p>
      <w:pPr>
        <w:pBdr/>
        <w:spacing/>
        <w:ind w:firstLine="567"/>
        <w:jc w:val="center"/>
        <w:rPr>
          <w:b/>
          <w:bCs/>
          <w:iCs/>
          <w:sz w:val="28"/>
          <w:szCs w:val="28"/>
        </w:rPr>
      </w:pPr>
      <w:r>
        <w:rPr>
          <w:b/>
          <w:bCs/>
          <w:iCs/>
          <w:sz w:val="28"/>
          <w:szCs w:val="28"/>
        </w:rPr>
      </w:r>
      <w:r>
        <w:rPr>
          <w:b/>
          <w:bCs/>
          <w:iCs/>
          <w:sz w:val="28"/>
          <w:szCs w:val="28"/>
        </w:rPr>
      </w:r>
    </w:p>
    <w:p>
      <w:pPr>
        <w:pBdr/>
        <w:spacing/>
        <w:ind w:firstLine="567"/>
        <w:jc w:val="both"/>
        <w:rPr>
          <w:sz w:val="28"/>
          <w:szCs w:val="28"/>
        </w:rPr>
      </w:pPr>
      <w:r>
        <w:rPr>
          <w:sz w:val="28"/>
          <w:szCs w:val="28"/>
        </w:rPr>
        <w:t xml:space="preserve">1. </w:t>
      </w:r>
      <w:r>
        <w:rPr>
          <w:sz w:val="28"/>
          <w:szCs w:val="28"/>
        </w:rPr>
        <w:t xml:space="preserve">Ці Правила визначають, відповідно до </w:t>
      </w:r>
      <w:r>
        <w:rPr>
          <w:sz w:val="28"/>
          <w:szCs w:val="28"/>
        </w:rPr>
        <w:t xml:space="preserve">обласної Програми підтримки індивідуального житлового будівництва та розвитку особистого селянського господарства «Власний дім» на 2021-2027 роки</w:t>
      </w:r>
      <w:r>
        <w:rPr>
          <w:sz w:val="28"/>
          <w:szCs w:val="28"/>
        </w:rPr>
        <w:t xml:space="preserve"> </w:t>
      </w:r>
      <w:r>
        <w:rPr>
          <w:sz w:val="28"/>
          <w:szCs w:val="28"/>
        </w:rPr>
        <w:t xml:space="preserve">(далі – Програма)</w:t>
      </w:r>
      <w:r>
        <w:rPr>
          <w:sz w:val="28"/>
          <w:szCs w:val="28"/>
        </w:rPr>
        <w:t xml:space="preserve">,</w:t>
      </w:r>
      <w:r>
        <w:rPr>
          <w:sz w:val="28"/>
          <w:szCs w:val="28"/>
        </w:rPr>
        <w:t xml:space="preserve"> </w:t>
      </w:r>
      <w:r>
        <w:rPr>
          <w:sz w:val="28"/>
          <w:szCs w:val="28"/>
        </w:rPr>
        <w:t xml:space="preserve">умови і порядок надання Чернігівським обласним Фондом підтримки індивідуального житлового будівництва на селі (далі – Фонд) пільгових довгострокових кредитів жителям малих міст Чернігівської області, з урахуванням місцевих умов.</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2. </w:t>
      </w:r>
      <w:r>
        <w:rPr>
          <w:sz w:val="28"/>
          <w:szCs w:val="28"/>
        </w:rPr>
        <w:t xml:space="preserve">Терміни, що вживаються у цих Правилах, мають таке значення:</w:t>
      </w:r>
      <w:r>
        <w:rPr>
          <w:sz w:val="28"/>
          <w:szCs w:val="28"/>
        </w:rPr>
      </w:r>
    </w:p>
    <w:p>
      <w:pPr>
        <w:pBdr/>
        <w:spacing/>
        <w:ind w:firstLine="567"/>
        <w:jc w:val="both"/>
        <w:rPr>
          <w:sz w:val="28"/>
          <w:szCs w:val="28"/>
        </w:rPr>
      </w:pPr>
      <w:r>
        <w:rPr>
          <w:sz w:val="28"/>
          <w:szCs w:val="28"/>
        </w:rPr>
        <w:t xml:space="preserve">кредит </w:t>
      </w:r>
      <w:r>
        <w:rPr>
          <w:sz w:val="28"/>
          <w:szCs w:val="28"/>
        </w:rPr>
        <w:t xml:space="preserve">–</w:t>
      </w:r>
      <w:r>
        <w:rPr>
          <w:sz w:val="28"/>
          <w:szCs w:val="28"/>
        </w:rPr>
        <w:t xml:space="preserve"> сума коштів або матеріальні ресурси у грошовому виразі, що надаються </w:t>
      </w:r>
      <w:r>
        <w:rPr>
          <w:sz w:val="28"/>
          <w:szCs w:val="28"/>
        </w:rPr>
        <w:t xml:space="preserve">індивідуальним забудовникам (далі – Позичальник</w:t>
      </w:r>
      <w:r>
        <w:rPr>
          <w:sz w:val="28"/>
          <w:szCs w:val="28"/>
        </w:rPr>
        <w:t xml:space="preserve">и</w:t>
      </w:r>
      <w:r>
        <w:rPr>
          <w:sz w:val="28"/>
          <w:szCs w:val="28"/>
        </w:rPr>
        <w:t xml:space="preserve">)</w:t>
      </w:r>
      <w:r>
        <w:rPr>
          <w:sz w:val="28"/>
          <w:szCs w:val="28"/>
        </w:rPr>
        <w:t xml:space="preserve"> за рахунок кредитних ресурсів Фонду для фінансування спорудження нового житла, добудови, реконструкції, </w:t>
      </w:r>
      <w:r>
        <w:rPr>
          <w:iCs/>
          <w:sz w:val="28"/>
          <w:szCs w:val="28"/>
        </w:rPr>
        <w:t xml:space="preserve">капітального ремонту</w:t>
      </w:r>
      <w:r>
        <w:rPr>
          <w:sz w:val="28"/>
          <w:szCs w:val="28"/>
        </w:rPr>
        <w:t xml:space="preserve"> житла, в тому числі здійснення енергоефективних заходів та </w:t>
      </w:r>
      <w:r>
        <w:rPr>
          <w:sz w:val="28"/>
          <w:szCs w:val="28"/>
        </w:rPr>
        <w:t xml:space="preserve">термомодернізації</w:t>
      </w:r>
      <w:r>
        <w:rPr>
          <w:sz w:val="28"/>
          <w:szCs w:val="28"/>
        </w:rPr>
        <w:t xml:space="preserve"> житла,</w:t>
      </w:r>
      <w:r>
        <w:rPr>
          <w:sz w:val="28"/>
          <w:szCs w:val="28"/>
        </w:rPr>
        <w:t xml:space="preserve"> підсобних господарських приміщень, інженерних мереж та інженерного облаштування житла, придбання готового або незавершеного будівництвом житла, за результатами оцінки, проведеної відповідно до законодавства, з проведенням його добудови, реконструкції або </w:t>
      </w:r>
      <w:r>
        <w:rPr>
          <w:iCs/>
          <w:sz w:val="28"/>
          <w:szCs w:val="28"/>
        </w:rPr>
        <w:t xml:space="preserve">капітального ремонту,</w:t>
      </w:r>
      <w:r>
        <w:rPr>
          <w:sz w:val="28"/>
          <w:szCs w:val="28"/>
        </w:rPr>
        <w:t xml:space="preserve"> а також для розвитку особистого селянського господарства (в т.</w:t>
      </w:r>
      <w:r>
        <w:rPr>
          <w:sz w:val="28"/>
          <w:szCs w:val="28"/>
        </w:rPr>
        <w:t xml:space="preserve"> </w:t>
      </w:r>
      <w:r>
        <w:rPr>
          <w:sz w:val="28"/>
          <w:szCs w:val="28"/>
        </w:rPr>
        <w:t xml:space="preserve">ч. шляхом придбання обладнання, сільськогосподарської техніки і домашньої худоби, птиці, кормів та іншого);</w:t>
      </w:r>
      <w:r>
        <w:rPr>
          <w:sz w:val="28"/>
          <w:szCs w:val="28"/>
        </w:rPr>
      </w:r>
    </w:p>
    <w:p>
      <w:pPr>
        <w:pBdr/>
        <w:spacing/>
        <w:ind w:firstLine="567"/>
        <w:jc w:val="both"/>
        <w:rPr>
          <w:sz w:val="28"/>
          <w:szCs w:val="28"/>
          <w:lang w:val="en-US"/>
        </w:rPr>
      </w:pPr>
      <w:r>
        <w:rPr>
          <w:sz w:val="28"/>
          <w:szCs w:val="28"/>
        </w:rPr>
        <w:t xml:space="preserve">малі міста – населені пункти Чернігівської області з чисельністю населення до 50 тисяч, яким у встановленому порядку надано статус міста і які такого  статусу не позбавлені</w:t>
      </w:r>
      <w:r>
        <w:rPr>
          <w:sz w:val="28"/>
          <w:szCs w:val="28"/>
        </w:rPr>
        <w:t xml:space="preserve">;</w:t>
      </w:r>
      <w:r>
        <w:rPr>
          <w:sz w:val="28"/>
          <w:szCs w:val="28"/>
          <w:lang w:val="en-US"/>
        </w:rPr>
      </w:r>
    </w:p>
    <w:p>
      <w:pPr>
        <w:pBdr/>
        <w:spacing/>
        <w:ind w:firstLine="567"/>
        <w:jc w:val="both"/>
        <w:rPr>
          <w:color w:val="000000" w:themeColor="text1"/>
          <w:sz w:val="28"/>
          <w:szCs w:val="28"/>
          <w:lang w:val="ru-RU"/>
        </w:rPr>
      </w:pPr>
      <w:r>
        <w:rPr>
          <w:color w:val="000000" w:themeColor="text1"/>
          <w:sz w:val="28"/>
          <w:szCs w:val="28"/>
        </w:rPr>
        <w:t xml:space="preserve">кредитний договір </w:t>
      </w:r>
      <w:r>
        <w:rPr>
          <w:color w:val="000000" w:themeColor="text1"/>
          <w:sz w:val="28"/>
          <w:szCs w:val="28"/>
          <w:lang w:val="en-US"/>
        </w:rPr>
        <w:t xml:space="preserve">–</w:t>
      </w:r>
      <w:r>
        <w:rPr>
          <w:color w:val="000000" w:themeColor="text1"/>
          <w:sz w:val="28"/>
          <w:szCs w:val="28"/>
        </w:rPr>
        <w:t xml:space="preserve"> укладений відповідно до цих Правил між </w:t>
      </w:r>
      <w:r>
        <w:rPr>
          <w:color w:val="000000" w:themeColor="text1"/>
          <w:sz w:val="28"/>
          <w:szCs w:val="28"/>
        </w:rPr>
        <w:t xml:space="preserve">Ф</w:t>
      </w:r>
      <w:r>
        <w:rPr>
          <w:color w:val="000000" w:themeColor="text1"/>
          <w:sz w:val="28"/>
          <w:szCs w:val="28"/>
        </w:rPr>
        <w:t xml:space="preserve">ондом та </w:t>
      </w:r>
      <w:r>
        <w:rPr>
          <w:color w:val="000000" w:themeColor="text1"/>
          <w:sz w:val="28"/>
          <w:szCs w:val="28"/>
        </w:rPr>
        <w:t xml:space="preserve">П</w:t>
      </w:r>
      <w:r>
        <w:rPr>
          <w:color w:val="000000" w:themeColor="text1"/>
          <w:sz w:val="28"/>
          <w:szCs w:val="28"/>
        </w:rPr>
        <w:t xml:space="preserve">озичальником договір, який визначає суму кредиту, умови надання кредиту </w:t>
      </w:r>
      <w:r>
        <w:rPr>
          <w:color w:val="000000" w:themeColor="text1"/>
          <w:sz w:val="28"/>
          <w:szCs w:val="28"/>
        </w:rPr>
        <w:t xml:space="preserve">П</w:t>
      </w:r>
      <w:r>
        <w:rPr>
          <w:color w:val="000000" w:themeColor="text1"/>
          <w:sz w:val="28"/>
          <w:szCs w:val="28"/>
        </w:rPr>
        <w:t xml:space="preserve">озичальникові, погашення </w:t>
      </w:r>
      <w:r>
        <w:rPr>
          <w:color w:val="000000" w:themeColor="text1"/>
          <w:sz w:val="28"/>
          <w:szCs w:val="28"/>
        </w:rPr>
        <w:t xml:space="preserve">П</w:t>
      </w:r>
      <w:r>
        <w:rPr>
          <w:color w:val="000000" w:themeColor="text1"/>
          <w:sz w:val="28"/>
          <w:szCs w:val="28"/>
        </w:rPr>
        <w:t xml:space="preserve">озичальником заборгованості </w:t>
      </w:r>
      <w:r>
        <w:rPr>
          <w:color w:val="000000" w:themeColor="text1"/>
          <w:sz w:val="28"/>
          <w:szCs w:val="28"/>
        </w:rPr>
        <w:t xml:space="preserve">за кредит</w:t>
      </w:r>
      <w:r>
        <w:rPr>
          <w:color w:val="000000" w:themeColor="text1"/>
          <w:sz w:val="28"/>
          <w:szCs w:val="28"/>
        </w:rPr>
        <w:t xml:space="preserve"> та внесення плати за користування ним;</w:t>
      </w:r>
      <w:r>
        <w:rPr>
          <w:color w:val="000000" w:themeColor="text1"/>
          <w:sz w:val="28"/>
          <w:szCs w:val="28"/>
          <w:lang w:val="ru-RU"/>
        </w:rPr>
      </w:r>
    </w:p>
    <w:p>
      <w:pPr>
        <w:pBdr/>
        <w:spacing/>
        <w:ind w:firstLine="567"/>
        <w:jc w:val="both"/>
        <w:rPr>
          <w:color w:val="000000" w:themeColor="text1"/>
          <w:sz w:val="28"/>
          <w:szCs w:val="28"/>
          <w:lang w:val="ru-RU"/>
        </w:rPr>
      </w:pPr>
      <w:r>
        <w:rPr>
          <w:color w:val="000000" w:themeColor="text1"/>
          <w:sz w:val="28"/>
          <w:szCs w:val="28"/>
        </w:rPr>
        <w:t xml:space="preserve">особливий період </w:t>
      </w:r>
      <w:r>
        <w:rPr>
          <w:color w:val="000000" w:themeColor="text1"/>
          <w:sz w:val="28"/>
          <w:szCs w:val="28"/>
          <w:lang w:val="en-US"/>
        </w:rPr>
        <w:t xml:space="preserve">–</w:t>
      </w:r>
      <w:r>
        <w:rPr>
          <w:color w:val="000000" w:themeColor="text1"/>
          <w:sz w:val="28"/>
          <w:szCs w:val="28"/>
        </w:rPr>
        <w:t xml:space="preserve"> термін застосовується у значенні, визначеному у </w:t>
      </w:r>
      <w:hyperlink r:id="rId11" w:tooltip="https://zakon.rada.gov.ua/laws/show/1932-12" w:history="1">
        <w:r>
          <w:rPr>
            <w:rStyle w:val="898"/>
            <w:color w:val="000000" w:themeColor="text1"/>
            <w:sz w:val="28"/>
            <w:szCs w:val="28"/>
            <w:u w:val="none"/>
          </w:rPr>
          <w:t xml:space="preserve">Законі України</w:t>
        </w:r>
      </w:hyperlink>
      <w:r>
        <w:rPr>
          <w:color w:val="000000" w:themeColor="text1"/>
          <w:sz w:val="28"/>
          <w:szCs w:val="28"/>
        </w:rPr>
        <w:t xml:space="preserve"> </w:t>
      </w:r>
      <w:r>
        <w:rPr>
          <w:color w:val="000000" w:themeColor="text1"/>
          <w:sz w:val="28"/>
          <w:szCs w:val="28"/>
        </w:rPr>
        <w:t xml:space="preserve">«</w:t>
      </w:r>
      <w:r>
        <w:rPr>
          <w:color w:val="000000" w:themeColor="text1"/>
          <w:sz w:val="28"/>
          <w:szCs w:val="28"/>
        </w:rPr>
        <w:t xml:space="preserve">Про оборону України</w:t>
      </w:r>
      <w:r>
        <w:rPr>
          <w:color w:val="000000" w:themeColor="text1"/>
          <w:sz w:val="28"/>
          <w:szCs w:val="28"/>
        </w:rPr>
        <w:t xml:space="preserve">»</w:t>
      </w:r>
      <w:r>
        <w:rPr>
          <w:color w:val="000000" w:themeColor="text1"/>
          <w:sz w:val="28"/>
          <w:szCs w:val="28"/>
          <w:lang w:val="ru-RU"/>
        </w:rPr>
        <w:t xml:space="preserve">.</w:t>
      </w:r>
      <w:r>
        <w:rPr>
          <w:color w:val="000000" w:themeColor="text1"/>
          <w:sz w:val="28"/>
          <w:szCs w:val="28"/>
          <w:lang w:val="ru-RU"/>
        </w:rPr>
      </w:r>
    </w:p>
    <w:p>
      <w:pPr>
        <w:pBdr/>
        <w:spacing/>
        <w:ind w:firstLine="567"/>
        <w:jc w:val="both"/>
        <w:rPr>
          <w:color w:val="000000" w:themeColor="text1"/>
          <w:sz w:val="28"/>
          <w:szCs w:val="28"/>
        </w:rPr>
      </w:pPr>
      <w:r>
        <w:rPr>
          <w:color w:val="000000" w:themeColor="text1"/>
          <w:sz w:val="28"/>
          <w:szCs w:val="28"/>
        </w:rPr>
      </w:r>
      <w:r>
        <w:rPr>
          <w:color w:val="000000" w:themeColor="text1"/>
          <w:sz w:val="28"/>
          <w:szCs w:val="28"/>
        </w:rPr>
      </w:r>
    </w:p>
    <w:p>
      <w:pPr>
        <w:pBdr/>
        <w:spacing/>
        <w:ind w:firstLine="567"/>
        <w:jc w:val="both"/>
        <w:rPr>
          <w:sz w:val="28"/>
          <w:szCs w:val="28"/>
        </w:rPr>
      </w:pPr>
      <w:r>
        <w:rPr>
          <w:sz w:val="28"/>
          <w:szCs w:val="28"/>
          <w:lang w:val="en-US"/>
        </w:rPr>
        <w:t xml:space="preserve">3</w:t>
      </w:r>
      <w:r>
        <w:rPr>
          <w:sz w:val="28"/>
          <w:szCs w:val="28"/>
        </w:rPr>
        <w:t xml:space="preserve">. Кредитування Фондом за цими Правилами є прямим, адресним (цільовим), зворотним і здійснюється у межах наявних кредитних ресурсів Фонду. </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iCs/>
          <w:sz w:val="28"/>
          <w:szCs w:val="28"/>
        </w:rPr>
      </w:pPr>
      <w:r>
        <w:rPr>
          <w:sz w:val="28"/>
          <w:szCs w:val="28"/>
          <w:lang w:val="en-US"/>
        </w:rPr>
        <w:t xml:space="preserve">4</w:t>
      </w:r>
      <w:r>
        <w:rPr>
          <w:sz w:val="28"/>
          <w:szCs w:val="28"/>
        </w:rPr>
        <w:t xml:space="preserve">. Позичальниками кредитів за рахунок кредитних ресурсів Фонду можуть бути громадяни України, які підтвердили свою платоспроможність, і які постійно проживають </w:t>
      </w:r>
      <w:r>
        <w:rPr>
          <w:sz w:val="28"/>
          <w:szCs w:val="28"/>
        </w:rPr>
        <w:t xml:space="preserve">у</w:t>
      </w:r>
      <w:r>
        <w:rPr>
          <w:sz w:val="28"/>
          <w:szCs w:val="28"/>
        </w:rPr>
        <w:t xml:space="preserve"> малих містах (або переселяю</w:t>
      </w:r>
      <w:r>
        <w:rPr>
          <w:sz w:val="28"/>
          <w:szCs w:val="28"/>
        </w:rPr>
        <w:t xml:space="preserve">ться для проживання в малі міста) Чернігівської області і об’єкти кредитування яких знаходяться на території малих міст, та працюють на підприємствах, установах, організаціях всіх форм власності, в особистих селянських господарствах, а також фізичні особи </w:t>
      </w:r>
      <w:r>
        <w:rPr>
          <w:sz w:val="28"/>
          <w:szCs w:val="28"/>
        </w:rPr>
        <w:t xml:space="preserve">–</w:t>
      </w:r>
      <w:r>
        <w:rPr>
          <w:sz w:val="28"/>
          <w:szCs w:val="28"/>
        </w:rPr>
        <w:t xml:space="preserve"> підприємці, в тому числі громадяни, на яких поширюється дія пунктів 19 і 20 частини першої статті 6 та абзацу четвертого пункту 1 статті 10 Закону України «Про статус вет</w:t>
      </w:r>
      <w:r>
        <w:rPr>
          <w:sz w:val="28"/>
          <w:szCs w:val="28"/>
        </w:rPr>
        <w:t xml:space="preserve">еранів війни, гарантії їх соціального захисту» (або члени їх сімей у разі призову таких осіб під час мобілізації і до закінчення проходження військової служби в особливий період), та громадяни України, які перебувають на обліку внутрішньо переміщених осіб.</w:t>
      </w:r>
      <w:r>
        <w:rPr>
          <w:iCs/>
          <w:sz w:val="28"/>
          <w:szCs w:val="28"/>
        </w:rPr>
      </w:r>
    </w:p>
    <w:p>
      <w:pPr>
        <w:pBdr/>
        <w:spacing/>
        <w:ind w:firstLine="567"/>
        <w:jc w:val="both"/>
        <w:rPr>
          <w:sz w:val="28"/>
          <w:szCs w:val="28"/>
        </w:rPr>
      </w:pPr>
      <w:r>
        <w:rPr>
          <w:sz w:val="28"/>
          <w:szCs w:val="28"/>
        </w:rPr>
        <w:t xml:space="preserve">Платоспроможність кандидата передбачає, що за умови сплати щомісячного платеж</w:t>
      </w:r>
      <w:r>
        <w:rPr>
          <w:sz w:val="28"/>
          <w:szCs w:val="28"/>
        </w:rPr>
        <w:t xml:space="preserve">у в рахунок погашення кредиту з урахуванням процентів залишок середньомісячного доходу кандидата та повнолітніх членів сім’ї не може бути меншим, ніж прожитковий мінімум, визначений законодавством на відповідний період, з розрахунку на кожного члена сім’ї.</w:t>
      </w:r>
      <w:r>
        <w:rPr>
          <w:sz w:val="28"/>
          <w:szCs w:val="28"/>
        </w:rPr>
      </w:r>
    </w:p>
    <w:p>
      <w:pPr>
        <w:pBdr/>
        <w:spacing/>
        <w:ind w:firstLine="567"/>
        <w:jc w:val="both"/>
        <w:rPr>
          <w:sz w:val="28"/>
          <w:szCs w:val="28"/>
        </w:rPr>
      </w:pPr>
      <w:r>
        <w:rPr>
          <w:sz w:val="28"/>
          <w:szCs w:val="28"/>
        </w:rPr>
        <w:t xml:space="preserve">Право одержання кредиту відповідно до цих Правил надається Позичальнику тільки один раз на будівництво та придбання житла. Обмеження, встановлені цим абзацом, не поширюються на осі</w:t>
      </w:r>
      <w:r>
        <w:rPr>
          <w:sz w:val="28"/>
          <w:szCs w:val="28"/>
        </w:rPr>
        <w:t xml:space="preserve">б, які є власниками (спадкоємцями) житла, яке знищене або пошкоджене внаслідок бойових дій, терористичних актів, диверсій, спричинених збройною агресією російської федерації проти України, за умови відсутності заборгованості за раніше отриманими кредитами.</w:t>
      </w:r>
      <w:r>
        <w:rPr>
          <w:sz w:val="28"/>
          <w:szCs w:val="28"/>
        </w:rPr>
      </w:r>
    </w:p>
    <w:p>
      <w:pPr>
        <w:pBdr/>
        <w:spacing/>
        <w:ind w:firstLine="567"/>
        <w:jc w:val="both"/>
        <w:rPr>
          <w:sz w:val="28"/>
          <w:szCs w:val="28"/>
        </w:rPr>
      </w:pPr>
      <w:r>
        <w:rPr>
          <w:sz w:val="28"/>
          <w:szCs w:val="28"/>
        </w:rPr>
        <w:t xml:space="preserve">Визначені у цих Правилах умови надання кредиту не поширюються на громадян України,</w:t>
      </w:r>
      <w:r>
        <w:rPr>
          <w:sz w:val="28"/>
          <w:szCs w:val="28"/>
        </w:rPr>
        <w:t xml:space="preserve"> які отримали на будівництво індивідуального житла позики, в тому числі банківські кредити, з пільгами за рахунок коштів бюджетів, компенсації за належні для отримання жилі приміщення для деяких категорій осіб відповідно до інших нормативно-правових актів.</w:t>
      </w:r>
      <w:r>
        <w:rPr>
          <w:sz w:val="28"/>
          <w:szCs w:val="28"/>
        </w:rPr>
      </w:r>
    </w:p>
    <w:p>
      <w:pPr>
        <w:pBdr/>
        <w:spacing/>
        <w:ind w:firstLine="567"/>
        <w:jc w:val="both"/>
        <w:rPr>
          <w:sz w:val="28"/>
          <w:szCs w:val="28"/>
        </w:rPr>
      </w:pPr>
      <w:r>
        <w:rPr>
          <w:sz w:val="28"/>
          <w:szCs w:val="28"/>
        </w:rPr>
      </w:r>
      <w:r>
        <w:rPr>
          <w:sz w:val="28"/>
          <w:szCs w:val="28"/>
        </w:rPr>
      </w:r>
    </w:p>
    <w:p>
      <w:pPr>
        <w:pBdr/>
        <w:spacing/>
        <w:ind w:firstLine="709"/>
        <w:jc w:val="center"/>
        <w:rPr>
          <w:b/>
          <w:bCs/>
          <w:sz w:val="28"/>
          <w:szCs w:val="28"/>
        </w:rPr>
      </w:pPr>
      <w:r>
        <w:rPr>
          <w:b/>
          <w:bCs/>
          <w:sz w:val="28"/>
          <w:szCs w:val="28"/>
          <w:lang w:val="en-US"/>
        </w:rPr>
        <w:t xml:space="preserve">II</w:t>
      </w:r>
      <w:r>
        <w:rPr>
          <w:b/>
          <w:bCs/>
          <w:sz w:val="28"/>
          <w:szCs w:val="28"/>
        </w:rPr>
        <w:t xml:space="preserve">. Умови надання кредиту </w:t>
      </w:r>
      <w:r>
        <w:rPr>
          <w:b/>
          <w:bCs/>
          <w:sz w:val="28"/>
          <w:szCs w:val="28"/>
        </w:rPr>
        <w:t xml:space="preserve">П</w:t>
      </w:r>
      <w:r>
        <w:rPr>
          <w:b/>
          <w:bCs/>
          <w:sz w:val="28"/>
          <w:szCs w:val="28"/>
        </w:rPr>
        <w:t xml:space="preserve">озичальникам</w:t>
      </w:r>
      <w:r>
        <w:rPr>
          <w:b/>
          <w:bCs/>
          <w:sz w:val="28"/>
          <w:szCs w:val="28"/>
        </w:rPr>
      </w:r>
    </w:p>
    <w:p>
      <w:pPr>
        <w:pBdr/>
        <w:spacing/>
        <w:ind w:firstLine="709"/>
        <w:jc w:val="center"/>
        <w:rPr>
          <w:b/>
          <w:bCs/>
          <w:sz w:val="28"/>
          <w:szCs w:val="28"/>
        </w:rPr>
      </w:pPr>
      <w:r>
        <w:rPr>
          <w:b/>
          <w:bCs/>
          <w:sz w:val="28"/>
          <w:szCs w:val="28"/>
        </w:rPr>
      </w:r>
      <w:r>
        <w:rPr>
          <w:b/>
          <w:bCs/>
          <w:sz w:val="28"/>
          <w:szCs w:val="28"/>
        </w:rPr>
      </w:r>
    </w:p>
    <w:p>
      <w:pPr>
        <w:pBdr/>
        <w:spacing/>
        <w:ind w:firstLine="567"/>
        <w:jc w:val="both"/>
        <w:rPr>
          <w:sz w:val="28"/>
          <w:szCs w:val="28"/>
        </w:rPr>
      </w:pPr>
      <w:r>
        <w:rPr>
          <w:sz w:val="28"/>
          <w:szCs w:val="28"/>
        </w:rPr>
        <w:t xml:space="preserve">1. Кредит Позичальникам надається на строк до 20 років, але не більш як до досягне</w:t>
      </w:r>
      <w:r>
        <w:rPr>
          <w:sz w:val="28"/>
          <w:szCs w:val="28"/>
        </w:rPr>
        <w:t xml:space="preserve">ння Позичальником пенсійного віку відповідно до Закону України «Про загальнообов’язкове державне пенсійне страхування», а молодим сім’ям (подружжя, в якому вік чоловіка та дружини не перевищує 35 років) або неповним сім’ям (мати (батько) віком до 35 років)</w:t>
      </w:r>
      <w:r>
        <w:rPr>
          <w:sz w:val="28"/>
          <w:szCs w:val="28"/>
        </w:rPr>
        <w:t xml:space="preserve"> – </w:t>
      </w:r>
      <w:r>
        <w:rPr>
          <w:sz w:val="28"/>
          <w:szCs w:val="28"/>
        </w:rPr>
        <w:t xml:space="preserve">до 30 років.</w:t>
      </w:r>
      <w:r>
        <w:rPr>
          <w:sz w:val="28"/>
          <w:szCs w:val="28"/>
        </w:rPr>
      </w:r>
    </w:p>
    <w:p>
      <w:pPr>
        <w:pBdr/>
        <w:spacing/>
        <w:ind w:firstLine="567"/>
        <w:jc w:val="both"/>
        <w:rPr>
          <w:sz w:val="28"/>
          <w:szCs w:val="28"/>
        </w:rPr>
      </w:pPr>
      <w:r>
        <w:rPr>
          <w:sz w:val="28"/>
          <w:szCs w:val="28"/>
        </w:rPr>
        <w:t xml:space="preserve">Сума кредиту визначається Фондом з урахуванням рівня платоспроможності Позичальника і не може перевищувати кош</w:t>
      </w:r>
      <w:r>
        <w:rPr>
          <w:sz w:val="28"/>
          <w:szCs w:val="28"/>
        </w:rPr>
        <w:t xml:space="preserve">торисної (ринкової) вартості об’єкта кредитування та граничного розміру кредиту в сумі 600 тис. гривень для спорудження нового житлового будинку, 350 тис. гривень для реконструкції, капітального ремонту, в тому числі здійснення енергоефективних заходів та </w:t>
      </w:r>
      <w:r>
        <w:rPr>
          <w:sz w:val="28"/>
          <w:szCs w:val="28"/>
        </w:rPr>
        <w:t xml:space="preserve">термомодернізації</w:t>
      </w:r>
      <w:r>
        <w:rPr>
          <w:sz w:val="28"/>
          <w:szCs w:val="28"/>
        </w:rPr>
        <w:t xml:space="preserve"> житлового будинку або добудови незавершеного будівництвом житла, 500 тис. гривень для придбання житл</w:t>
      </w:r>
      <w:r>
        <w:rPr>
          <w:sz w:val="28"/>
          <w:szCs w:val="28"/>
        </w:rPr>
        <w:t xml:space="preserve">а, 150 тис. гривень для спорудження інженерних мереж та підключення їх до наявних комунікацій, 350 тис. гривень для будівництва, добудови, реконструкції підсобних господарських приміщень та 350 тис. гривень для розвитку особистого селянського господарства.</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2. Позичальники користуються пільговим кредитом</w:t>
      </w:r>
      <w:r>
        <w:rPr>
          <w:sz w:val="28"/>
          <w:szCs w:val="28"/>
          <w:shd w:val="clear" w:color="auto" w:fill="ffffff"/>
        </w:rPr>
        <w:t xml:space="preserve"> </w:t>
      </w:r>
      <w:r>
        <w:rPr>
          <w:sz w:val="28"/>
          <w:szCs w:val="28"/>
        </w:rPr>
        <w:t xml:space="preserve">за умови їх проживання (або переселення для постійного проживання) у малі міста та підтвердження ними своєї платоспроможності.</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3. Позичальники, яким надаватиметься кредит, визначаються Фондом на підставі клопотань або відповідних списків, затверджених органами місцевого самоврядування.</w:t>
      </w:r>
      <w:r>
        <w:rPr>
          <w:sz w:val="28"/>
          <w:szCs w:val="28"/>
        </w:rPr>
      </w:r>
    </w:p>
    <w:p>
      <w:pPr>
        <w:pBdr/>
        <w:spacing/>
        <w:ind w:firstLine="567"/>
        <w:jc w:val="both"/>
        <w:rPr>
          <w:sz w:val="28"/>
          <w:szCs w:val="28"/>
        </w:rPr>
      </w:pPr>
      <w:r>
        <w:rPr>
          <w:sz w:val="28"/>
          <w:szCs w:val="28"/>
        </w:rPr>
        <w:t xml:space="preserve">У першочерговому порядку кредит надається Позичальникам для завершення раніше розпочатого будівництва та молодим спеціалістам, які працюють на підприємствах, в установах та організаціях, зазначених у </w:t>
      </w:r>
      <w:hyperlink r:id="rId12" w:tooltip="https://zakon.rada.gov.ua/laws/show/1597-98-%D0%BF#n23" w:anchor="n23" w:history="1">
        <w:r>
          <w:rPr>
            <w:rStyle w:val="898"/>
            <w:color w:val="auto"/>
            <w:sz w:val="28"/>
            <w:szCs w:val="28"/>
            <w:u w:val="none"/>
          </w:rPr>
          <w:t xml:space="preserve">пункті</w:t>
        </w:r>
      </w:hyperlink>
      <w:r>
        <w:t xml:space="preserve"> </w:t>
      </w:r>
      <w:r>
        <w:rPr>
          <w:sz w:val="28"/>
          <w:szCs w:val="28"/>
        </w:rPr>
        <w:t xml:space="preserve">4</w:t>
      </w:r>
      <w:r>
        <w:t xml:space="preserve"> </w:t>
      </w:r>
      <w:r>
        <w:rPr>
          <w:sz w:val="28"/>
          <w:szCs w:val="28"/>
        </w:rPr>
        <w:t xml:space="preserve">розділу </w:t>
      </w:r>
      <w:r>
        <w:rPr>
          <w:sz w:val="28"/>
          <w:szCs w:val="28"/>
          <w:lang w:val="en-US"/>
        </w:rPr>
        <w:t xml:space="preserve">I</w:t>
      </w:r>
      <w:r>
        <w:rPr>
          <w:sz w:val="28"/>
          <w:szCs w:val="28"/>
        </w:rPr>
        <w:t xml:space="preserve"> цих Правил, а також особам, на яких поширюється дія </w:t>
      </w:r>
      <w:hyperlink r:id="rId13" w:tooltip="https://zakon.rada.gov.ua/laws/show/3551-12#n73" w:anchor="n73" w:history="1">
        <w:r>
          <w:rPr>
            <w:rStyle w:val="898"/>
            <w:color w:val="auto"/>
            <w:sz w:val="28"/>
            <w:szCs w:val="28"/>
            <w:u w:val="none"/>
          </w:rPr>
          <w:t xml:space="preserve">пунктів 19</w:t>
        </w:r>
      </w:hyperlink>
      <w:r>
        <w:rPr>
          <w:sz w:val="28"/>
          <w:szCs w:val="28"/>
        </w:rPr>
        <w:t xml:space="preserve"> і </w:t>
      </w:r>
      <w:hyperlink r:id="rId14" w:tooltip="https://zakon.rada.gov.ua/laws/show/3551-12#n77" w:anchor="n77" w:history="1">
        <w:r>
          <w:rPr>
            <w:rStyle w:val="898"/>
            <w:color w:val="auto"/>
            <w:sz w:val="28"/>
            <w:szCs w:val="28"/>
            <w:u w:val="none"/>
          </w:rPr>
          <w:t xml:space="preserve">20 частини першої статті 6</w:t>
        </w:r>
      </w:hyperlink>
      <w:r>
        <w:rPr>
          <w:rStyle w:val="898"/>
          <w:color w:val="auto"/>
          <w:sz w:val="28"/>
          <w:szCs w:val="28"/>
          <w:u w:val="none"/>
        </w:rPr>
        <w:t xml:space="preserve"> </w:t>
      </w:r>
      <w:r>
        <w:rPr>
          <w:sz w:val="28"/>
          <w:szCs w:val="28"/>
        </w:rPr>
        <w:t xml:space="preserve">та </w:t>
      </w:r>
      <w:hyperlink r:id="rId15" w:tooltip="https://zakon.rada.gov.ua/laws/show/3551-12#n153" w:anchor="n153" w:history="1">
        <w:r>
          <w:rPr>
            <w:rStyle w:val="898"/>
            <w:color w:val="auto"/>
            <w:sz w:val="28"/>
            <w:szCs w:val="28"/>
            <w:u w:val="none"/>
          </w:rPr>
          <w:t xml:space="preserve">абзацу четвертого пункту 1 статті 10</w:t>
        </w:r>
      </w:hyperlink>
      <w:r>
        <w:rPr>
          <w:sz w:val="28"/>
          <w:szCs w:val="28"/>
        </w:rPr>
        <w:t xml:space="preserve"> Закону України «Про статус ветеранів війни, гарантії їх соціального захисту», та громадянам України, які перебувають на обліку внутрішньо перемі</w:t>
      </w:r>
      <w:r>
        <w:rPr>
          <w:sz w:val="28"/>
          <w:szCs w:val="28"/>
        </w:rPr>
        <w:t xml:space="preserve">щених осіб та особам, що не взяті на облік внутрішньо переміщених осіб, є власниками (їх спадкоємцями) житла, яке знищене або пошкоджене внаслідок бойових дій, терористичних актів, диверсій, спричинених збройною агресією російської федерації проти України.</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4. Плата за користування кредитом становить три відсотки річних. Позичальник, який має трьох і більше дітей (у тому числі усиновлених та/або таких, що перебувають під його опікою/піклуванням), звільняється від сплати відсотків з</w:t>
      </w:r>
      <w:r>
        <w:rPr>
          <w:sz w:val="28"/>
          <w:szCs w:val="28"/>
        </w:rPr>
        <w:t xml:space="preserve">а користування пільговим кредитом протягом дії кредитного договору починаючи з дати подання копії підтвердних документів (свідоцтва про народження дітей, документів про усиновлення, встановлення опіки чи піклування, посвідчення батьків багатодітної сім’ї).</w:t>
      </w:r>
      <w:r>
        <w:rPr>
          <w:sz w:val="28"/>
          <w:szCs w:val="28"/>
        </w:rPr>
      </w:r>
    </w:p>
    <w:p>
      <w:pPr>
        <w:pBdr/>
        <w:spacing/>
        <w:ind w:firstLine="567"/>
        <w:jc w:val="both"/>
        <w:rPr>
          <w:sz w:val="28"/>
          <w:szCs w:val="28"/>
        </w:rPr>
      </w:pPr>
      <w:r>
        <w:rPr>
          <w:sz w:val="28"/>
          <w:szCs w:val="28"/>
        </w:rPr>
        <w:t xml:space="preserve">У разі досягнення повноліття одним або кількома з дітей Позичальника (у тому числі усиновленими та/або такими, що перебувають під опікою/піклуванням) під час дії кредитного договору, що підтвер</w:t>
      </w:r>
      <w:r>
        <w:rPr>
          <w:sz w:val="28"/>
          <w:szCs w:val="28"/>
        </w:rPr>
        <w:t xml:space="preserve">джується документами (свідоцтво про народження дитини, документи про усиновлення, встановлення опіки чи піклування, посвідчення батьків багатодітної сім’ї), кредит Позичальнику надається із внесенням за користування ним плати у розмірі три відсотки річних.</w:t>
      </w:r>
      <w:bookmarkStart w:id="0" w:name="n202"/>
      <w:r/>
      <w:bookmarkStart w:id="1" w:name="n149"/>
      <w:r/>
      <w:bookmarkEnd w:id="0"/>
      <w:r/>
      <w:bookmarkEnd w:id="1"/>
      <w:r/>
      <w:r>
        <w:rPr>
          <w:sz w:val="28"/>
          <w:szCs w:val="28"/>
        </w:rPr>
      </w:r>
    </w:p>
    <w:p>
      <w:pPr>
        <w:pBdr/>
        <w:spacing/>
        <w:ind w:firstLine="567"/>
        <w:jc w:val="both"/>
        <w:rPr>
          <w:sz w:val="28"/>
          <w:szCs w:val="28"/>
        </w:rPr>
      </w:pPr>
      <w:r>
        <w:rPr>
          <w:sz w:val="28"/>
          <w:szCs w:val="28"/>
        </w:rPr>
        <w:t xml:space="preserve">Відсотки за користування кредитом також не нараховуються таким Позичальникам (за умови звернення їх або повнолітніх членів їх сімей з відповідною заявою):</w:t>
      </w:r>
      <w:r>
        <w:rPr>
          <w:sz w:val="28"/>
          <w:szCs w:val="28"/>
        </w:rPr>
      </w:r>
    </w:p>
    <w:p>
      <w:pPr>
        <w:pBdr/>
        <w:spacing/>
        <w:ind w:firstLine="567"/>
        <w:jc w:val="both"/>
        <w:rPr>
          <w:sz w:val="28"/>
          <w:szCs w:val="28"/>
        </w:rPr>
      </w:pPr>
      <w:r/>
      <w:bookmarkStart w:id="2" w:name="n153"/>
      <w:r/>
      <w:bookmarkStart w:id="3" w:name="n150"/>
      <w:r/>
      <w:bookmarkEnd w:id="2"/>
      <w:r/>
      <w:bookmarkEnd w:id="3"/>
      <w:r>
        <w:rPr>
          <w:sz w:val="28"/>
          <w:szCs w:val="28"/>
        </w:rPr>
        <w:t xml:space="preserve">військовослужбовцям, подружжю, в якому чоловік або дружина є військовослужбовцем, що підтверджується копією військового квитка, </w:t>
      </w:r>
      <w:r>
        <w:rPr>
          <w:sz w:val="28"/>
          <w:szCs w:val="28"/>
        </w:rPr>
        <w:t xml:space="preserve">–</w:t>
      </w:r>
      <w:r>
        <w:rPr>
          <w:sz w:val="28"/>
          <w:szCs w:val="28"/>
        </w:rPr>
        <w:t xml:space="preserve"> з початку і до закінчення особливого періоду, - з дати звернення з відповідною заявою та подання копії підтвердних документів у межах дії особливого періоду;</w:t>
      </w:r>
      <w:r>
        <w:rPr>
          <w:sz w:val="28"/>
          <w:szCs w:val="28"/>
        </w:rPr>
      </w:r>
    </w:p>
    <w:p>
      <w:pPr>
        <w:pBdr/>
        <w:spacing/>
        <w:ind w:firstLine="567"/>
        <w:jc w:val="both"/>
        <w:rPr>
          <w:sz w:val="28"/>
          <w:szCs w:val="28"/>
        </w:rPr>
      </w:pPr>
      <w:r/>
      <w:bookmarkStart w:id="4" w:name="n152"/>
      <w:r/>
      <w:bookmarkStart w:id="5" w:name="n151"/>
      <w:r/>
      <w:bookmarkEnd w:id="4"/>
      <w:r/>
      <w:bookmarkEnd w:id="5"/>
      <w:r>
        <w:rPr>
          <w:sz w:val="28"/>
          <w:szCs w:val="28"/>
        </w:rPr>
        <w:t xml:space="preserve">резервістам та військовозобов’язаним, подружжю, в якому чоловік або дружина є резервістом чи військовозобов’язаним, щ</w:t>
      </w:r>
      <w:r>
        <w:rPr>
          <w:sz w:val="28"/>
          <w:szCs w:val="28"/>
        </w:rPr>
        <w:t xml:space="preserve">о підтверджується довідкою територіального центру комплектування та соціальної підтримки або військової частини про перебування на військовій службі, - з моменту призову під час мобілізації і до закінчення проходження військової служби в особливий період, </w:t>
      </w:r>
      <w:r>
        <w:rPr>
          <w:sz w:val="28"/>
          <w:szCs w:val="28"/>
        </w:rPr>
        <w:t xml:space="preserve">– </w:t>
      </w:r>
      <w:r>
        <w:rPr>
          <w:sz w:val="28"/>
          <w:szCs w:val="28"/>
        </w:rPr>
        <w:t xml:space="preserve">з дати звернення з відповідною заявою та подання копії підтвердних документів у межах дії особливого періоду.</w:t>
      </w:r>
      <w:bookmarkStart w:id="6" w:name="n148"/>
      <w:r/>
      <w:bookmarkStart w:id="7" w:name="n203"/>
      <w:r/>
      <w:bookmarkEnd w:id="6"/>
      <w:r/>
      <w:bookmarkEnd w:id="7"/>
      <w:r/>
      <w:r>
        <w:rPr>
          <w:sz w:val="28"/>
          <w:szCs w:val="28"/>
        </w:rPr>
      </w:r>
    </w:p>
    <w:p>
      <w:pPr>
        <w:pBdr/>
        <w:spacing/>
        <w:ind w:firstLine="567"/>
        <w:jc w:val="both"/>
        <w:rPr>
          <w:sz w:val="28"/>
          <w:szCs w:val="28"/>
        </w:rPr>
      </w:pPr>
      <w:r>
        <w:rPr>
          <w:sz w:val="28"/>
          <w:szCs w:val="28"/>
        </w:rPr>
        <w:t xml:space="preserve">Звільнення від сплати відсотків за користування кр</w:t>
      </w:r>
      <w:r>
        <w:rPr>
          <w:sz w:val="28"/>
          <w:szCs w:val="28"/>
        </w:rPr>
        <w:t xml:space="preserve">едитом у випадках, передбачених цим пунктом, застосовується виключно за умови компенсації Фонду відсоткової ставки за рахунок коштів місцевих бюджетів у порядку, визначеному органами місцевого самоврядування (обласною державною/ військовою адміністрацією).</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5. Площа житлового будинку як об’єкта кредитування у малих містах не може перевищувати 120 </w:t>
      </w:r>
      <w:r>
        <w:rPr>
          <w:sz w:val="28"/>
          <w:szCs w:val="28"/>
        </w:rPr>
        <w:t xml:space="preserve">кв</w:t>
      </w:r>
      <w:r>
        <w:rPr>
          <w:sz w:val="28"/>
          <w:szCs w:val="28"/>
        </w:rPr>
        <w:t xml:space="preserve">. метрів житлової площі.</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6. Надання кредитів на газифікацію житлових будинків здійснюється після завершення робіт з підключення магістральних підвідних газопроводів, що підтверджується органами місцевого самоврядування.</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7. Відшкодування витрат із надання, обслуговування, повернення кредитів та інших витрат Фонду, пов’язаних з кредитуванням, здійснюється Позичальником в розмірах та на умовах, визначених у кредитному договорі.</w:t>
      </w:r>
      <w:r>
        <w:rPr>
          <w:sz w:val="28"/>
          <w:szCs w:val="28"/>
        </w:rPr>
      </w:r>
    </w:p>
    <w:p>
      <w:pPr>
        <w:pBdr/>
        <w:spacing/>
        <w:ind w:firstLine="567"/>
        <w:jc w:val="both"/>
        <w:rPr>
          <w:sz w:val="28"/>
          <w:szCs w:val="28"/>
        </w:rPr>
      </w:pPr>
      <w:r>
        <w:rPr>
          <w:sz w:val="28"/>
          <w:szCs w:val="28"/>
        </w:rPr>
      </w:r>
      <w:r>
        <w:rPr>
          <w:sz w:val="28"/>
          <w:szCs w:val="28"/>
        </w:rPr>
      </w:r>
    </w:p>
    <w:p>
      <w:pPr>
        <w:pBdr/>
        <w:spacing/>
        <w:ind w:firstLine="709"/>
        <w:jc w:val="center"/>
        <w:rPr>
          <w:b/>
          <w:bCs/>
          <w:sz w:val="28"/>
          <w:szCs w:val="28"/>
        </w:rPr>
      </w:pPr>
      <w:r>
        <w:rPr>
          <w:b/>
          <w:bCs/>
          <w:sz w:val="28"/>
          <w:szCs w:val="28"/>
          <w:lang w:val="en-US"/>
        </w:rPr>
        <w:t xml:space="preserve">III</w:t>
      </w:r>
      <w:r>
        <w:rPr>
          <w:b/>
          <w:bCs/>
          <w:sz w:val="28"/>
          <w:szCs w:val="28"/>
        </w:rPr>
        <w:t xml:space="preserve">. Порядок оформлення і видачі кредиту</w:t>
      </w:r>
      <w:r>
        <w:rPr>
          <w:b/>
          <w:bCs/>
          <w:sz w:val="28"/>
          <w:szCs w:val="28"/>
        </w:rPr>
      </w:r>
    </w:p>
    <w:p>
      <w:pPr>
        <w:pBdr/>
        <w:spacing/>
        <w:ind w:firstLine="709"/>
        <w:jc w:val="center"/>
        <w:rPr>
          <w:b/>
          <w:bCs/>
          <w:sz w:val="28"/>
          <w:szCs w:val="28"/>
        </w:rPr>
      </w:pPr>
      <w:r>
        <w:rPr>
          <w:b/>
          <w:bCs/>
          <w:sz w:val="28"/>
          <w:szCs w:val="28"/>
        </w:rPr>
      </w:r>
      <w:r>
        <w:rPr>
          <w:b/>
          <w:bCs/>
          <w:sz w:val="28"/>
          <w:szCs w:val="28"/>
        </w:rPr>
      </w:r>
    </w:p>
    <w:p>
      <w:pPr>
        <w:pBdr/>
        <w:spacing/>
        <w:ind w:firstLine="567"/>
        <w:jc w:val="both"/>
        <w:rPr>
          <w:sz w:val="28"/>
          <w:szCs w:val="28"/>
        </w:rPr>
      </w:pPr>
      <w:r>
        <w:rPr>
          <w:sz w:val="28"/>
          <w:szCs w:val="28"/>
        </w:rPr>
        <w:t xml:space="preserve">1. Надання кредиту здійснюється на підставі кредитного договору, що укладається після підтвердження права Позичальника на його одержання та визначення суми кредиту.</w:t>
      </w:r>
      <w:r>
        <w:rPr>
          <w:sz w:val="28"/>
          <w:szCs w:val="28"/>
        </w:rPr>
      </w:r>
    </w:p>
    <w:p>
      <w:pPr>
        <w:pBdr/>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2. Для підтвердження права на одержання кредиту та визначення його суми Позичальник або уповноважена особа подає у паперовій або електронній формі Фонду:</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1) заяву про надання кредиту;</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2) клопотання або список органу місцевого самоврядування про надання кредиту;</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3) копію документа, що посвідчує особу та підтверджує громадянство України Позичальника;</w:t>
      </w:r>
      <w:r>
        <w:rPr>
          <w:sz w:val="28"/>
          <w:szCs w:val="28"/>
        </w:rPr>
      </w:r>
    </w:p>
    <w:p>
      <w:pPr>
        <w:pBdr/>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4) копію реєстраційного номер</w:t>
      </w:r>
      <w:r>
        <w:rPr>
          <w:sz w:val="28"/>
          <w:szCs w:val="28"/>
        </w:rPr>
        <w:t xml:space="preserve">а</w:t>
      </w:r>
      <w:r>
        <w:rPr>
          <w:sz w:val="28"/>
          <w:szCs w:val="28"/>
        </w:rPr>
        <w:t xml:space="preserve"> облікової картки платника податків (за виключенням фізичних осіб, які через свої релігійні п</w:t>
      </w:r>
      <w:r>
        <w:rPr>
          <w:sz w:val="28"/>
          <w:szCs w:val="28"/>
        </w:rPr>
        <w:t xml:space="preserve">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наявність права здійснювати будь-які платежі за серією та номером паспорта);</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5) довідку про зареєстрованих у житловому приміщенні/будинку осіб та копії документів, що посвідчують особу членів сім’ї Позичальника; </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6) витяг з реєстру територіальної громади про місце проживання (перебування) особи;</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7) документи, необхідні для визначення рівня платоспроможності Позичальника (довідку про доходи Позичальника і членів його сім’ї, одержані за попередні </w:t>
      </w:r>
      <w:r>
        <w:rPr>
          <w:iCs/>
          <w:sz w:val="28"/>
          <w:szCs w:val="28"/>
        </w:rPr>
        <w:t xml:space="preserve">шість </w:t>
      </w:r>
      <w:r>
        <w:rPr>
          <w:sz w:val="28"/>
          <w:szCs w:val="28"/>
        </w:rPr>
        <w:t xml:space="preserve">місяців </w:t>
      </w:r>
      <w:r>
        <w:rPr>
          <w:iCs/>
          <w:sz w:val="28"/>
          <w:szCs w:val="28"/>
        </w:rPr>
        <w:t xml:space="preserve">та/або довідку видану органом місцевого самоврядування про ведення особистого селянського господарства</w:t>
      </w:r>
      <w:r>
        <w:rPr>
          <w:sz w:val="28"/>
          <w:szCs w:val="28"/>
        </w:rPr>
        <w:t xml:space="preserve">); </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8) інформацію з Державного реєстру речових прав на нерухоме майно про наявність або відсутність у власності житла;</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9) копію документа, що підтверджує право власності чи користування земельною ділянкою (крім випадків придбання житла);</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10) проектну документацію або будівельний паспорт, вартість виготовлення яких може входити за згодою Позичальника до суми кредиту (крім випадків придбання житла та розвитку особистого селянського господарства);</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11) документи, що підтверджують працевлаштування;</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12) заяву власника житла чи об’єкта незавершеного житлового будівництва про згоду продати його із зазначенням погоджених з Позичальником ціни та інших істотних умов договору купівлі-продажу (в разі придбання житла);</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iCs/>
          <w:sz w:val="28"/>
          <w:szCs w:val="28"/>
        </w:rPr>
      </w:pPr>
      <w:r>
        <w:rPr>
          <w:iCs/>
          <w:sz w:val="28"/>
          <w:szCs w:val="28"/>
        </w:rPr>
        <w:t xml:space="preserve">13) документи, що підтверджують статус осіб, на яких поширюється дія пунктів 19 і 20 частини першої статті 6 та абзацу четвертого пункту 1 статті 10 Закону України </w:t>
      </w:r>
      <w:r>
        <w:rPr>
          <w:sz w:val="28"/>
          <w:szCs w:val="28"/>
        </w:rPr>
        <w:t xml:space="preserve">«</w:t>
      </w:r>
      <w:r>
        <w:rPr>
          <w:iCs/>
          <w:sz w:val="28"/>
          <w:szCs w:val="28"/>
        </w:rPr>
        <w:t xml:space="preserve">Про статус ветеранів війни, гарантії їх соціального захисту</w:t>
      </w:r>
      <w:r>
        <w:rPr>
          <w:sz w:val="28"/>
          <w:szCs w:val="28"/>
        </w:rPr>
        <w:t xml:space="preserve">»</w:t>
      </w:r>
      <w:r>
        <w:rPr>
          <w:iCs/>
          <w:sz w:val="28"/>
          <w:szCs w:val="28"/>
        </w:rPr>
        <w:t xml:space="preserve"> (у разі наявності);</w:t>
      </w:r>
      <w:r>
        <w:rPr>
          <w:iCs/>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14) відомості відповідно до вимог Закону України «Про забезпечення прав і свобод внутрішньо переміщених осіб», внесені до Єдиної інформаційної бази </w:t>
      </w:r>
      <w:r>
        <w:rPr>
          <w:sz w:val="28"/>
          <w:szCs w:val="28"/>
        </w:rPr>
        <w:t xml:space="preserve">даних про внутрішньо переміщених осіб, копію довідки про взяття на облік внутрішньо переміщеної особи відповідно до постанови Кабінету Міністрів України від 01 жовтня 2014 року № 509 «Про облік внутрішньо переміщених осіб» </w:t>
      </w:r>
      <w:r>
        <w:rPr>
          <w:iCs/>
          <w:sz w:val="28"/>
          <w:szCs w:val="28"/>
        </w:rPr>
        <w:t xml:space="preserve">(у разі наявності)</w:t>
      </w:r>
      <w:r>
        <w:rPr>
          <w:sz w:val="28"/>
          <w:szCs w:val="28"/>
        </w:rPr>
        <w:t xml:space="preserve">;</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15) акт обстеження об’єкта, пошкодженого внаслідок військових дій, спричинених збройною агресією російської федер</w:t>
      </w:r>
      <w:r>
        <w:rPr>
          <w:sz w:val="28"/>
          <w:szCs w:val="28"/>
        </w:rPr>
        <w:t xml:space="preserve">ації, складений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року №</w:t>
      </w:r>
      <w:r>
        <w:rPr>
          <w:sz w:val="28"/>
          <w:szCs w:val="28"/>
          <w:lang w:val="ru-RU"/>
        </w:rPr>
        <w:t xml:space="preserve"> </w:t>
      </w:r>
      <w:r>
        <w:rPr>
          <w:sz w:val="28"/>
          <w:szCs w:val="28"/>
        </w:rPr>
        <w:t xml:space="preserve">473, та/або відомості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Pr>
          <w:sz w:val="28"/>
          <w:szCs w:val="28"/>
        </w:rPr>
        <w:t xml:space="preserve">–</w:t>
      </w:r>
      <w:r>
        <w:rPr>
          <w:sz w:val="28"/>
          <w:szCs w:val="28"/>
        </w:rPr>
        <w:t xml:space="preserve"> за наявності у заявника та</w:t>
      </w:r>
      <w:r>
        <w:rPr>
          <w:sz w:val="28"/>
          <w:szCs w:val="28"/>
        </w:rPr>
        <w:t xml:space="preserve"> членів його сім’ї, які не ставали на облік внутрішньо переміщених осіб, житлового приміщення, яке зруйноване (знищене) або стало непридатним для проживання внаслідок збройної агресії російської федерації, розташованого на підконтрольній Україні території </w:t>
      </w:r>
      <w:r>
        <w:rPr>
          <w:iCs/>
          <w:sz w:val="28"/>
          <w:szCs w:val="28"/>
        </w:rPr>
        <w:t xml:space="preserve">(у разі наявності)</w:t>
      </w:r>
      <w:r>
        <w:rPr>
          <w:sz w:val="28"/>
          <w:szCs w:val="28"/>
        </w:rPr>
        <w:t xml:space="preserve">;</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16) правовстановлюючі та/або ідентифікуючі документи на майбутній об’єкт кредитування (у випадках придбання житла).</w:t>
      </w:r>
      <w:r>
        <w:rPr>
          <w:sz w:val="28"/>
          <w:szCs w:val="28"/>
        </w:rPr>
      </w:r>
    </w:p>
    <w:p>
      <w:pPr>
        <w:pBdr/>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3. Рішення про надання або про відмову у наданні Позичальнику кредиту приймає Фонд на підставі поданих відповідно до пункту 2</w:t>
      </w:r>
      <w:r>
        <w:rPr>
          <w:sz w:val="28"/>
          <w:szCs w:val="28"/>
          <w:lang w:val="ru-RU"/>
        </w:rPr>
        <w:t xml:space="preserve"> </w:t>
      </w:r>
      <w:r>
        <w:rPr>
          <w:sz w:val="28"/>
          <w:szCs w:val="28"/>
        </w:rPr>
        <w:t xml:space="preserve">розділу </w:t>
      </w:r>
      <w:r>
        <w:rPr>
          <w:sz w:val="28"/>
          <w:szCs w:val="28"/>
          <w:lang w:val="en-US"/>
        </w:rPr>
        <w:t xml:space="preserve">III</w:t>
      </w:r>
      <w:r>
        <w:rPr>
          <w:sz w:val="28"/>
          <w:szCs w:val="28"/>
        </w:rPr>
        <w:t xml:space="preserve"> цих Правил документів у термін не пізніше 30 днів з дати реєстрації заяви Позичальника.</w:t>
      </w:r>
      <w:r>
        <w:rPr>
          <w:sz w:val="28"/>
          <w:szCs w:val="28"/>
        </w:rPr>
      </w:r>
    </w:p>
    <w:p>
      <w:pPr>
        <w:pBdr/>
        <w:tabs>
          <w:tab w:val="left" w:leader="none" w:pos="993"/>
        </w:tabs>
        <w:spacing/>
        <w:ind w:firstLine="567"/>
        <w:jc w:val="both"/>
        <w:rPr>
          <w:sz w:val="28"/>
          <w:szCs w:val="28"/>
        </w:rPr>
      </w:pPr>
      <w:r>
        <w:rPr>
          <w:sz w:val="28"/>
          <w:szCs w:val="28"/>
        </w:rPr>
        <w:t xml:space="preserve">У разі прийняття рішення про відмову у наданні кредиту Фонд у місячний термін у письмовій формі повідомляє про це Позичальника з обґрунтуванням причин відмови.</w:t>
      </w:r>
      <w:r>
        <w:rPr>
          <w:sz w:val="28"/>
          <w:szCs w:val="28"/>
        </w:rPr>
      </w:r>
    </w:p>
    <w:p>
      <w:pPr>
        <w:pBdr/>
        <w:tabs>
          <w:tab w:val="left" w:leader="none" w:pos="993"/>
        </w:tabs>
        <w:spacing/>
        <w:ind w:firstLine="567"/>
        <w:jc w:val="both"/>
        <w:rPr>
          <w:sz w:val="28"/>
          <w:szCs w:val="28"/>
        </w:rPr>
      </w:pPr>
      <w:r>
        <w:rPr>
          <w:sz w:val="28"/>
          <w:szCs w:val="28"/>
        </w:rPr>
        <w:t xml:space="preserve">Позитивне рішення Фонду є підставою для укладання з Позичальником кредитного договору. </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4. Кредитний договір укладається відповідно до законодавства та з урахуванням вимог цих Правил.</w:t>
      </w:r>
      <w:r>
        <w:rPr>
          <w:sz w:val="28"/>
          <w:szCs w:val="28"/>
        </w:rPr>
      </w:r>
    </w:p>
    <w:p>
      <w:pPr>
        <w:pBdr/>
        <w:tabs>
          <w:tab w:val="left" w:leader="none" w:pos="993"/>
        </w:tabs>
        <w:spacing/>
        <w:ind w:firstLine="567"/>
        <w:jc w:val="both"/>
        <w:rPr>
          <w:sz w:val="28"/>
          <w:szCs w:val="28"/>
        </w:rPr>
      </w:pPr>
      <w:r>
        <w:rPr>
          <w:sz w:val="28"/>
          <w:szCs w:val="28"/>
        </w:rPr>
        <w:t xml:space="preserve">Зміни та доповнення до кредитного договору оформлюються додатковим договором і є невід'ємною його частиною.</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5. Зобов'язання Позичальника за кредитним договором можуть забезпечуватися такими способами:</w:t>
      </w:r>
      <w:r>
        <w:rPr>
          <w:sz w:val="28"/>
          <w:szCs w:val="28"/>
        </w:rPr>
      </w:r>
    </w:p>
    <w:p>
      <w:pPr>
        <w:pBdr/>
        <w:tabs>
          <w:tab w:val="left" w:leader="none" w:pos="993"/>
        </w:tabs>
        <w:spacing/>
        <w:ind w:firstLine="567"/>
        <w:jc w:val="both"/>
        <w:rPr>
          <w:sz w:val="28"/>
          <w:szCs w:val="28"/>
        </w:rPr>
      </w:pPr>
      <w:r>
        <w:rPr>
          <w:sz w:val="28"/>
          <w:szCs w:val="28"/>
        </w:rPr>
        <w:t xml:space="preserve">договором поруки, оформленим в установленому порядку; </w:t>
      </w:r>
      <w:r>
        <w:rPr>
          <w:sz w:val="28"/>
          <w:szCs w:val="28"/>
        </w:rPr>
      </w:r>
    </w:p>
    <w:p>
      <w:pPr>
        <w:pBdr/>
        <w:tabs>
          <w:tab w:val="left" w:leader="none" w:pos="993"/>
        </w:tabs>
        <w:spacing/>
        <w:ind w:firstLine="567"/>
        <w:jc w:val="both"/>
        <w:rPr>
          <w:sz w:val="28"/>
          <w:szCs w:val="28"/>
        </w:rPr>
      </w:pPr>
      <w:r>
        <w:rPr>
          <w:sz w:val="28"/>
          <w:szCs w:val="28"/>
        </w:rPr>
        <w:t xml:space="preserve">договором про встановлення довірчої власності, оформленим в установленому порядку;</w:t>
      </w:r>
      <w:r>
        <w:rPr>
          <w:sz w:val="28"/>
          <w:szCs w:val="28"/>
        </w:rPr>
      </w:r>
    </w:p>
    <w:p>
      <w:pPr>
        <w:pBdr/>
        <w:tabs>
          <w:tab w:val="left" w:leader="none" w:pos="993"/>
        </w:tabs>
        <w:spacing/>
        <w:ind w:firstLine="567"/>
        <w:jc w:val="both"/>
        <w:rPr>
          <w:sz w:val="28"/>
          <w:szCs w:val="28"/>
        </w:rPr>
      </w:pPr>
      <w:r>
        <w:rPr>
          <w:sz w:val="28"/>
          <w:szCs w:val="28"/>
        </w:rPr>
        <w:t xml:space="preserve">договором про іпотеку будівель, що споруджуються за рахунок кредиту, а у разі коли житло будується на земельній ділянці, яка належить Позичальнику за правом приватної власності, </w:t>
      </w:r>
      <w:r>
        <w:rPr>
          <w:sz w:val="28"/>
          <w:szCs w:val="28"/>
        </w:rPr>
        <w:t xml:space="preserve">–</w:t>
      </w:r>
      <w:r>
        <w:rPr>
          <w:sz w:val="28"/>
          <w:szCs w:val="28"/>
        </w:rPr>
        <w:t xml:space="preserve"> також про іпотеку земельної ділянки;</w:t>
      </w:r>
      <w:r>
        <w:rPr>
          <w:sz w:val="28"/>
          <w:szCs w:val="28"/>
        </w:rPr>
      </w:r>
    </w:p>
    <w:p>
      <w:pPr>
        <w:pBdr/>
        <w:tabs>
          <w:tab w:val="left" w:leader="none" w:pos="993"/>
        </w:tabs>
        <w:spacing/>
        <w:ind w:firstLine="567"/>
        <w:jc w:val="both"/>
        <w:rPr>
          <w:sz w:val="28"/>
          <w:szCs w:val="28"/>
        </w:rPr>
      </w:pPr>
      <w:r>
        <w:rPr>
          <w:sz w:val="28"/>
          <w:szCs w:val="28"/>
        </w:rPr>
        <w:t xml:space="preserve">договором застави майна та майнових прав;</w:t>
      </w:r>
      <w:r>
        <w:rPr>
          <w:sz w:val="28"/>
          <w:szCs w:val="28"/>
        </w:rPr>
      </w:r>
    </w:p>
    <w:p>
      <w:pPr>
        <w:pBdr/>
        <w:tabs>
          <w:tab w:val="left" w:leader="none" w:pos="993"/>
        </w:tabs>
        <w:spacing/>
        <w:ind w:firstLine="567"/>
        <w:jc w:val="both"/>
        <w:rPr>
          <w:sz w:val="28"/>
          <w:szCs w:val="28"/>
        </w:rPr>
      </w:pPr>
      <w:r>
        <w:rPr>
          <w:sz w:val="28"/>
          <w:szCs w:val="28"/>
        </w:rPr>
        <w:t xml:space="preserve">договором страхування кредиту (кредитного ризику);</w:t>
      </w:r>
      <w:r>
        <w:rPr>
          <w:sz w:val="28"/>
          <w:szCs w:val="28"/>
        </w:rPr>
      </w:r>
    </w:p>
    <w:p>
      <w:pPr>
        <w:pBdr/>
        <w:tabs>
          <w:tab w:val="left" w:leader="none" w:pos="993"/>
        </w:tabs>
        <w:spacing/>
        <w:ind w:firstLine="567"/>
        <w:jc w:val="both"/>
        <w:rPr>
          <w:iCs/>
          <w:sz w:val="28"/>
          <w:szCs w:val="28"/>
        </w:rPr>
      </w:pPr>
      <w:r>
        <w:rPr>
          <w:iCs/>
          <w:sz w:val="28"/>
          <w:szCs w:val="28"/>
        </w:rPr>
        <w:t xml:space="preserve">договором страхування життя Позичальника на користь Фонду.</w:t>
      </w:r>
      <w:r>
        <w:rPr>
          <w:iCs/>
          <w:sz w:val="28"/>
          <w:szCs w:val="28"/>
        </w:rPr>
      </w:r>
    </w:p>
    <w:p>
      <w:pPr>
        <w:pBdr/>
        <w:tabs>
          <w:tab w:val="left" w:leader="none" w:pos="993"/>
        </w:tabs>
        <w:spacing/>
        <w:ind w:firstLine="567"/>
        <w:jc w:val="both"/>
        <w:rPr>
          <w:sz w:val="28"/>
          <w:szCs w:val="28"/>
        </w:rPr>
      </w:pPr>
      <w:r>
        <w:rPr>
          <w:sz w:val="28"/>
          <w:szCs w:val="28"/>
        </w:rPr>
        <w:t xml:space="preserve">Витрати щодо оформлення зобов’язань несе Позичальник, які за згодою сторін можуть бути включені до суми кредиту.</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6. Кредитний договір укладається на всю суму кредиту, яка видається частинами (траншами) поетапно згідно з графіком та умовами, передбаченими в кредитному договорі.</w:t>
      </w:r>
      <w:r>
        <w:rPr>
          <w:sz w:val="28"/>
          <w:szCs w:val="28"/>
        </w:rPr>
      </w:r>
    </w:p>
    <w:p>
      <w:pPr>
        <w:pBdr/>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7. Видача наступної </w:t>
      </w:r>
      <w:r>
        <w:rPr>
          <w:iCs/>
          <w:sz w:val="28"/>
          <w:szCs w:val="28"/>
        </w:rPr>
        <w:t xml:space="preserve">частини</w:t>
      </w:r>
      <w:r>
        <w:rPr>
          <w:sz w:val="28"/>
          <w:szCs w:val="28"/>
        </w:rPr>
        <w:t xml:space="preserve"> кредиту здійснюється після подання Позичальником відповідних документів у паперовій або електронній формі, що підтверджують цільове використання виданих попереднім траншем кредитних коштів. </w:t>
      </w:r>
      <w:r>
        <w:rPr>
          <w:sz w:val="28"/>
          <w:szCs w:val="28"/>
        </w:rPr>
      </w:r>
    </w:p>
    <w:p>
      <w:pPr>
        <w:pBdr/>
        <w:tabs>
          <w:tab w:val="left" w:leader="none" w:pos="993"/>
        </w:tabs>
        <w:spacing/>
        <w:ind w:firstLine="567"/>
        <w:jc w:val="both"/>
        <w:rPr>
          <w:sz w:val="28"/>
          <w:szCs w:val="28"/>
        </w:rPr>
      </w:pPr>
      <w:r>
        <w:rPr>
          <w:sz w:val="28"/>
          <w:szCs w:val="28"/>
        </w:rPr>
        <w:t xml:space="preserve">Видача кредиту для придбання, </w:t>
      </w:r>
      <w:r>
        <w:rPr>
          <w:iCs/>
          <w:sz w:val="28"/>
          <w:szCs w:val="28"/>
        </w:rPr>
        <w:t xml:space="preserve">інженерного облаштування житла та будівництва інженерних мереж,</w:t>
      </w:r>
      <w:r>
        <w:rPr>
          <w:sz w:val="28"/>
          <w:szCs w:val="28"/>
        </w:rPr>
        <w:t xml:space="preserve"> </w:t>
      </w:r>
      <w:r>
        <w:rPr>
          <w:iCs/>
          <w:sz w:val="28"/>
          <w:szCs w:val="28"/>
        </w:rPr>
        <w:t xml:space="preserve">а також на </w:t>
      </w:r>
      <w:r>
        <w:rPr>
          <w:sz w:val="28"/>
          <w:szCs w:val="28"/>
        </w:rPr>
        <w:t xml:space="preserve">розвиток особистого селянського господарства здійснюється без врахування етапів у порядку, що визначається кредитним договором.</w:t>
      </w:r>
      <w:r>
        <w:rPr>
          <w:sz w:val="28"/>
          <w:szCs w:val="28"/>
        </w:rPr>
      </w:r>
    </w:p>
    <w:p>
      <w:pPr>
        <w:pBdr/>
        <w:tabs>
          <w:tab w:val="left" w:leader="none" w:pos="993"/>
        </w:tabs>
        <w:spacing/>
        <w:ind w:firstLine="567"/>
        <w:jc w:val="both"/>
        <w:rPr>
          <w:sz w:val="28"/>
          <w:szCs w:val="28"/>
        </w:rPr>
      </w:pPr>
      <w:r>
        <w:rPr>
          <w:sz w:val="28"/>
          <w:szCs w:val="28"/>
        </w:rPr>
        <w:t xml:space="preserve">Розрахунок за придбане Позичальником житло проводиться Фондом після оформлення договору купівлі-продажу житла і подання до Фонду засвідченої в установленому порядку копії зазначеного договору.</w:t>
      </w:r>
      <w:r>
        <w:rPr>
          <w:sz w:val="28"/>
          <w:szCs w:val="28"/>
        </w:rPr>
      </w:r>
    </w:p>
    <w:p>
      <w:pPr>
        <w:pBdr/>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8. </w:t>
      </w:r>
      <w:r>
        <w:rPr>
          <w:iCs/>
          <w:sz w:val="28"/>
          <w:szCs w:val="28"/>
        </w:rPr>
        <w:t xml:space="preserve">Термін використання кредиту обумовлюється у кредитному договорі</w:t>
      </w:r>
      <w:r>
        <w:rPr>
          <w:sz w:val="28"/>
          <w:szCs w:val="28"/>
        </w:rPr>
        <w:t xml:space="preserve">. </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9. Оформлення, облік і контроль за здійсненням операцій з надання кредитів ведеться згідно з чинним законодавством.</w:t>
      </w:r>
      <w:r>
        <w:rPr>
          <w:sz w:val="28"/>
          <w:szCs w:val="28"/>
        </w:rPr>
      </w:r>
    </w:p>
    <w:p>
      <w:pPr>
        <w:pBdr/>
        <w:tabs>
          <w:tab w:val="left" w:leader="none" w:pos="993"/>
        </w:tabs>
        <w:spacing/>
        <w:ind w:firstLine="567"/>
        <w:rPr>
          <w:b/>
          <w:bCs/>
          <w:sz w:val="28"/>
          <w:szCs w:val="28"/>
        </w:rPr>
      </w:pPr>
      <w:r>
        <w:rPr>
          <w:b/>
          <w:bCs/>
          <w:sz w:val="28"/>
          <w:szCs w:val="28"/>
        </w:rPr>
      </w:r>
      <w:r>
        <w:rPr>
          <w:b/>
          <w:bCs/>
          <w:sz w:val="28"/>
          <w:szCs w:val="28"/>
        </w:rPr>
      </w:r>
    </w:p>
    <w:p>
      <w:pPr>
        <w:pBdr/>
        <w:tabs>
          <w:tab w:val="left" w:leader="none" w:pos="993"/>
        </w:tabs>
        <w:spacing/>
        <w:ind w:firstLine="709"/>
        <w:jc w:val="center"/>
        <w:rPr>
          <w:b/>
          <w:bCs/>
          <w:iCs/>
          <w:sz w:val="28"/>
          <w:szCs w:val="28"/>
        </w:rPr>
      </w:pPr>
      <w:r>
        <w:rPr>
          <w:b/>
          <w:bCs/>
          <w:sz w:val="28"/>
          <w:szCs w:val="28"/>
          <w:lang w:val="en-US"/>
        </w:rPr>
        <w:t xml:space="preserve">IV</w:t>
      </w:r>
      <w:r>
        <w:rPr>
          <w:b/>
          <w:bCs/>
          <w:sz w:val="28"/>
          <w:szCs w:val="28"/>
        </w:rPr>
        <w:t xml:space="preserve">. Умови погашення кредиту та внесення інших платежів, які мають передбачатись у кредитних договорах</w:t>
      </w:r>
      <w:r>
        <w:rPr>
          <w:b/>
          <w:bCs/>
          <w:iCs/>
          <w:sz w:val="28"/>
          <w:szCs w:val="28"/>
        </w:rPr>
      </w:r>
    </w:p>
    <w:p>
      <w:pPr>
        <w:pBdr/>
        <w:tabs>
          <w:tab w:val="left" w:leader="none" w:pos="993"/>
        </w:tabs>
        <w:spacing/>
        <w:ind w:firstLine="709"/>
        <w:jc w:val="center"/>
        <w:rPr>
          <w:b/>
          <w:bCs/>
          <w:iCs/>
          <w:sz w:val="28"/>
          <w:szCs w:val="28"/>
        </w:rPr>
      </w:pPr>
      <w:r>
        <w:rPr>
          <w:b/>
          <w:bCs/>
          <w:iCs/>
          <w:sz w:val="28"/>
          <w:szCs w:val="28"/>
        </w:rPr>
      </w:r>
      <w:r>
        <w:rPr>
          <w:b/>
          <w:bCs/>
          <w:iCs/>
          <w:sz w:val="28"/>
          <w:szCs w:val="28"/>
        </w:rPr>
      </w:r>
    </w:p>
    <w:p>
      <w:pPr>
        <w:pBdr/>
        <w:tabs>
          <w:tab w:val="left" w:leader="none" w:pos="993"/>
        </w:tabs>
        <w:spacing/>
        <w:ind w:firstLine="567"/>
        <w:jc w:val="both"/>
        <w:rPr>
          <w:sz w:val="28"/>
          <w:szCs w:val="28"/>
        </w:rPr>
      </w:pPr>
      <w:r>
        <w:rPr>
          <w:sz w:val="28"/>
          <w:szCs w:val="28"/>
        </w:rPr>
        <w:t xml:space="preserve">1. Погашення кредиту</w:t>
      </w:r>
      <w:r>
        <w:rPr>
          <w:color w:val="000000"/>
          <w:sz w:val="28"/>
          <w:szCs w:val="28"/>
        </w:rPr>
        <w:t xml:space="preserve">,</w:t>
      </w:r>
      <w:r>
        <w:rPr>
          <w:sz w:val="28"/>
          <w:szCs w:val="28"/>
        </w:rPr>
        <w:t xml:space="preserve"> внесення плати за користування ним та сплата інших платежів здійснюється згідно з умовами кредитного договору.</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2. Позичальник має право достроково погасити кредит та/або вносити плату за користування ним. Фонд не має права чинити перешкод Позичальникам у реалізації цього права.</w:t>
      </w:r>
      <w:r>
        <w:rPr>
          <w:sz w:val="28"/>
          <w:szCs w:val="28"/>
        </w:rPr>
      </w:r>
    </w:p>
    <w:p>
      <w:pPr>
        <w:pBdr/>
        <w:spacing/>
        <w:ind w:firstLine="567"/>
        <w:jc w:val="both"/>
        <w:rPr>
          <w:sz w:val="28"/>
          <w:szCs w:val="28"/>
        </w:rPr>
      </w:pPr>
      <w:r>
        <w:rPr>
          <w:sz w:val="28"/>
          <w:szCs w:val="28"/>
        </w:rPr>
        <w:t xml:space="preserve">Позичальник може щороку вносити плату за користування кредитом</w:t>
      </w:r>
      <w:r>
        <w:rPr>
          <w:sz w:val="28"/>
          <w:szCs w:val="28"/>
        </w:rPr>
        <w:t xml:space="preserve">,</w:t>
      </w:r>
      <w:r>
        <w:rPr>
          <w:sz w:val="28"/>
          <w:szCs w:val="28"/>
        </w:rPr>
        <w:t xml:space="preserve"> починаючи з першого року його одержання, якщо це обумовлено кредитним договором.</w:t>
      </w:r>
      <w:r>
        <w:rPr>
          <w:sz w:val="28"/>
          <w:szCs w:val="28"/>
        </w:rPr>
      </w:r>
    </w:p>
    <w:p>
      <w:pPr>
        <w:pBdr/>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3. За прострочення платежу Позичальнику нараховується пеня з розрахунку подвійної річної облікової ставки Національного банку України, що діє на день виникнення боргу. </w:t>
      </w:r>
      <w:r>
        <w:rPr>
          <w:sz w:val="28"/>
          <w:szCs w:val="28"/>
        </w:rPr>
      </w:r>
    </w:p>
    <w:p>
      <w:pPr>
        <w:pBdr/>
        <w:tabs>
          <w:tab w:val="left" w:leader="none" w:pos="993"/>
        </w:tabs>
        <w:spacing/>
        <w:ind w:firstLine="567"/>
        <w:jc w:val="both"/>
        <w:rPr>
          <w:iCs/>
          <w:sz w:val="28"/>
          <w:szCs w:val="28"/>
        </w:rPr>
      </w:pPr>
      <w:r>
        <w:rPr>
          <w:iCs/>
          <w:sz w:val="28"/>
          <w:szCs w:val="28"/>
        </w:rPr>
        <w:t xml:space="preserve">За прострочення платежу пеня не нараховується таким Позичальникам (за умови звернення їх або повнолітніх членів їх сімей з відповідною заявою):</w:t>
      </w:r>
      <w:r>
        <w:rPr>
          <w:iCs/>
          <w:sz w:val="28"/>
          <w:szCs w:val="28"/>
        </w:rPr>
      </w:r>
    </w:p>
    <w:p>
      <w:pPr>
        <w:pBdr/>
        <w:tabs>
          <w:tab w:val="left" w:leader="none" w:pos="993"/>
        </w:tabs>
        <w:spacing/>
        <w:ind w:firstLine="567"/>
        <w:jc w:val="both"/>
        <w:rPr>
          <w:iCs/>
          <w:sz w:val="28"/>
          <w:szCs w:val="28"/>
        </w:rPr>
      </w:pPr>
      <w:r>
        <w:rPr>
          <w:iCs/>
          <w:sz w:val="28"/>
          <w:szCs w:val="28"/>
        </w:rPr>
        <w:t xml:space="preserve">військовослужбовцям, подружжю, в якому чоловік або дружина є військовослужбовцем, що підтверджується копією військового квитка, </w:t>
      </w:r>
      <w:r>
        <w:rPr>
          <w:sz w:val="28"/>
          <w:szCs w:val="28"/>
        </w:rPr>
        <w:t xml:space="preserve">–</w:t>
      </w:r>
      <w:r>
        <w:rPr>
          <w:iCs/>
          <w:sz w:val="28"/>
          <w:szCs w:val="28"/>
        </w:rPr>
        <w:t xml:space="preserve"> з початку і до закінчення особливого періоду;</w:t>
      </w:r>
      <w:r>
        <w:rPr>
          <w:iCs/>
          <w:sz w:val="28"/>
          <w:szCs w:val="28"/>
        </w:rPr>
      </w:r>
    </w:p>
    <w:p>
      <w:pPr>
        <w:pBdr/>
        <w:tabs>
          <w:tab w:val="left" w:leader="none" w:pos="993"/>
        </w:tabs>
        <w:spacing/>
        <w:ind w:firstLine="567"/>
        <w:jc w:val="both"/>
        <w:rPr>
          <w:sz w:val="28"/>
          <w:szCs w:val="28"/>
        </w:rPr>
      </w:pPr>
      <w:r>
        <w:rPr>
          <w:sz w:val="28"/>
          <w:szCs w:val="28"/>
        </w:rPr>
        <w:t xml:space="preserve">резервістам</w:t>
      </w:r>
      <w:r>
        <w:rPr>
          <w:sz w:val="28"/>
          <w:szCs w:val="28"/>
        </w:rPr>
        <w:t xml:space="preserve"> та військовозобов’язаним, подружжю, в якому чоловік або дружина є резервістом чи військовозобов’язаним, що підтверджується довідкою територіального центру комплектування та соціальної підтримки або військової частини про перебування на військовій службі, </w:t>
      </w:r>
      <w:r>
        <w:rPr>
          <w:sz w:val="28"/>
          <w:szCs w:val="28"/>
        </w:rPr>
        <w:t xml:space="preserve">–</w:t>
      </w:r>
      <w:r>
        <w:rPr>
          <w:sz w:val="28"/>
          <w:szCs w:val="28"/>
        </w:rPr>
        <w:t xml:space="preserve"> з моменту призову під час мобілізації і до закінчення проходження військової служби в особливий період</w:t>
      </w:r>
      <w:r>
        <w:rPr>
          <w:sz w:val="28"/>
          <w:szCs w:val="28"/>
        </w:rPr>
        <w:t xml:space="preserve">.</w:t>
      </w:r>
      <w:r>
        <w:rPr>
          <w:sz w:val="28"/>
          <w:szCs w:val="28"/>
        </w:rPr>
      </w:r>
    </w:p>
    <w:p>
      <w:pPr>
        <w:pBdr/>
        <w:tabs>
          <w:tab w:val="left" w:leader="none" w:pos="993"/>
        </w:tabs>
        <w:spacing/>
        <w:ind w:firstLine="567"/>
        <w:jc w:val="both"/>
        <w:rPr>
          <w:sz w:val="28"/>
          <w:szCs w:val="28"/>
          <w:shd w:val="clear" w:color="auto" w:fill="ffffff"/>
        </w:rPr>
      </w:pPr>
      <w:r>
        <w:rPr>
          <w:sz w:val="28"/>
          <w:szCs w:val="28"/>
          <w:shd w:val="clear" w:color="auto" w:fill="ffffff"/>
        </w:rPr>
        <w:t xml:space="preserve">Позичальникам, які мають задеклароване/зареєстроване місце проживання (перебування) в населених пунктах, включених до </w:t>
      </w:r>
      <w:hyperlink r:id="rId16" w:tooltip="https://zakon.rada.gov.ua/laws/show/z1668-22#n15" w:anchor="n15" w:history="1">
        <w:r>
          <w:rPr>
            <w:rStyle w:val="898"/>
            <w:color w:val="auto"/>
            <w:sz w:val="28"/>
            <w:szCs w:val="28"/>
            <w:u w:val="none"/>
            <w:shd w:val="clear" w:color="auto" w:fill="ffffff"/>
          </w:rPr>
          <w:t xml:space="preserve">П</w:t>
        </w:r>
        <w:r>
          <w:rPr>
            <w:rStyle w:val="898"/>
            <w:color w:val="auto"/>
            <w:sz w:val="28"/>
            <w:szCs w:val="28"/>
            <w:u w:val="none"/>
            <w:shd w:val="clear" w:color="auto" w:fill="ffffff"/>
          </w:rPr>
          <w:t xml:space="preserve">ереліку територій, на яких ведуться (велися) бойові дії або тимчасово окупованих російською федерацією</w:t>
        </w:r>
      </w:hyperlink>
      <w:r>
        <w:rPr>
          <w:sz w:val="28"/>
          <w:szCs w:val="28"/>
          <w:shd w:val="clear" w:color="auto" w:fill="ffffff"/>
        </w:rPr>
        <w:t xml:space="preserve">, затвердженого </w:t>
      </w:r>
      <w:r>
        <w:rPr>
          <w:sz w:val="28"/>
          <w:szCs w:val="28"/>
          <w:shd w:val="clear" w:color="auto" w:fill="ffffff"/>
        </w:rPr>
        <w:t xml:space="preserve">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Pr>
          <w:sz w:val="28"/>
          <w:szCs w:val="28"/>
          <w:shd w:val="clear" w:color="auto" w:fill="ffffff"/>
        </w:rPr>
        <w:t xml:space="preserve">, для яких не визначена дата завершення бойових дій (припинення можливості бойових дій) або тимчасової окупації.</w:t>
      </w:r>
      <w:r>
        <w:rPr>
          <w:sz w:val="28"/>
          <w:szCs w:val="28"/>
          <w:shd w:val="clear" w:color="auto" w:fill="ffffff"/>
        </w:rPr>
      </w:r>
    </w:p>
    <w:p>
      <w:pPr>
        <w:pBdr/>
        <w:tabs>
          <w:tab w:val="left" w:leader="none" w:pos="993"/>
        </w:tabs>
        <w:spacing/>
        <w:ind w:firstLine="567"/>
        <w:jc w:val="both"/>
        <w:rPr>
          <w:iCs/>
          <w:sz w:val="28"/>
          <w:szCs w:val="28"/>
        </w:rPr>
      </w:pPr>
      <w:r>
        <w:rPr>
          <w:iCs/>
          <w:sz w:val="28"/>
          <w:szCs w:val="28"/>
        </w:rPr>
        <w:t xml:space="preserve">Умови кредитування, визначені абза</w:t>
      </w:r>
      <w:r>
        <w:rPr>
          <w:iCs/>
          <w:sz w:val="28"/>
          <w:szCs w:val="28"/>
        </w:rPr>
        <w:t xml:space="preserve">цом п’ятим цього пункту, поширюються також на кредити, отримані подружжям, в якому чоловік або дружина є такими, що зареєстровані та постійно проживають чи переселилися з населеного пункту, визначеного у переліку, зазначеному в абзаці п’ятому цього пункту.</w:t>
      </w:r>
      <w:r>
        <w:rPr>
          <w:iCs/>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4. Оформлення, облік і контроль за здійсненням операцій з погашення кредитів ведеться згідно із законодавством.</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5. Факт повного виконання Позичальником фінансових зобов</w:t>
      </w:r>
      <w:r>
        <w:rPr>
          <w:sz w:val="28"/>
          <w:szCs w:val="28"/>
        </w:rPr>
        <w:t xml:space="preserve">’</w:t>
      </w:r>
      <w:r>
        <w:rPr>
          <w:sz w:val="28"/>
          <w:szCs w:val="28"/>
        </w:rPr>
        <w:t xml:space="preserve">язань за кредитним договором оформляється відповідним актом сторін кредитного договору.</w:t>
      </w:r>
      <w:r>
        <w:rPr>
          <w:sz w:val="28"/>
          <w:szCs w:val="28"/>
        </w:rPr>
      </w:r>
    </w:p>
    <w:p>
      <w:pPr>
        <w:pBdr/>
        <w:tabs>
          <w:tab w:val="left" w:leader="none" w:pos="993"/>
        </w:tabs>
        <w:spacing/>
        <w:ind w:firstLine="567"/>
        <w:jc w:val="both"/>
        <w:rPr>
          <w:sz w:val="28"/>
          <w:szCs w:val="28"/>
        </w:rPr>
      </w:pPr>
      <w:r>
        <w:rPr>
          <w:sz w:val="28"/>
          <w:szCs w:val="28"/>
        </w:rPr>
        <w:t xml:space="preserve">У разі невиконання Позичальником умов кредитного договору Фонд відповідно до законодавства здійснює заходи щодо стягнення заборгованості та інші дії, передбачені умовами кредитного договору.</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709"/>
        <w:jc w:val="center"/>
        <w:rPr>
          <w:b/>
          <w:bCs/>
          <w:sz w:val="28"/>
          <w:szCs w:val="28"/>
        </w:rPr>
      </w:pPr>
      <w:r>
        <w:rPr>
          <w:b/>
          <w:bCs/>
          <w:sz w:val="28"/>
          <w:szCs w:val="28"/>
          <w:lang w:val="en-US"/>
        </w:rPr>
        <w:t xml:space="preserve">V</w:t>
      </w:r>
      <w:r>
        <w:rPr>
          <w:b/>
          <w:bCs/>
          <w:sz w:val="28"/>
          <w:szCs w:val="28"/>
        </w:rPr>
        <w:t xml:space="preserve">. Контроль за цільовим використанням коштів кредиту</w:t>
      </w:r>
      <w:r>
        <w:rPr>
          <w:b/>
          <w:bCs/>
          <w:sz w:val="28"/>
          <w:szCs w:val="28"/>
        </w:rPr>
      </w:r>
    </w:p>
    <w:p>
      <w:pPr>
        <w:pBdr/>
        <w:tabs>
          <w:tab w:val="left" w:leader="none" w:pos="993"/>
        </w:tabs>
        <w:spacing/>
        <w:ind w:firstLine="709"/>
        <w:jc w:val="center"/>
        <w:rPr>
          <w:b/>
          <w:bCs/>
          <w:sz w:val="28"/>
          <w:szCs w:val="28"/>
        </w:rPr>
      </w:pPr>
      <w:r>
        <w:rPr>
          <w:b/>
          <w:bCs/>
          <w:sz w:val="28"/>
          <w:szCs w:val="28"/>
        </w:rPr>
      </w:r>
      <w:r>
        <w:rPr>
          <w:b/>
          <w:bCs/>
          <w:sz w:val="28"/>
          <w:szCs w:val="28"/>
        </w:rPr>
      </w:r>
    </w:p>
    <w:p>
      <w:pPr>
        <w:pBdr/>
        <w:tabs>
          <w:tab w:val="left" w:leader="none" w:pos="993"/>
        </w:tabs>
        <w:spacing/>
        <w:ind w:firstLine="567"/>
        <w:jc w:val="both"/>
        <w:rPr>
          <w:sz w:val="28"/>
          <w:szCs w:val="28"/>
        </w:rPr>
      </w:pPr>
      <w:r>
        <w:rPr>
          <w:sz w:val="28"/>
          <w:szCs w:val="28"/>
        </w:rPr>
        <w:t xml:space="preserve">1. У разі подання Позичальником недостовірних даних у документах для отримання кредиту, передбачених цими Правилами, до нього застосовуються санкції, передбачені чинним законодавством.</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2. Позичальники надають представникам Фонду можливість безперешкодного огляду об’єктів кредитування і проведення перевірки документів, які підтверджують фактичні витрати та цільове використання кредиту, про що складається відповідний акт.</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tabs>
          <w:tab w:val="left" w:leader="none" w:pos="993"/>
        </w:tabs>
        <w:spacing/>
        <w:ind w:firstLine="567"/>
        <w:jc w:val="both"/>
        <w:rPr>
          <w:sz w:val="28"/>
          <w:szCs w:val="28"/>
        </w:rPr>
      </w:pPr>
      <w:r>
        <w:rPr>
          <w:sz w:val="28"/>
          <w:szCs w:val="28"/>
        </w:rPr>
        <w:t xml:space="preserve">3. Міністерство фінансів України і місцеві фінансові органи здійснюють контроль за дотриманням Фондом вимог законодавства під час видачі, обслуговування та погашення кредиту.</w:t>
      </w:r>
      <w:r>
        <w:rPr>
          <w:sz w:val="28"/>
          <w:szCs w:val="28"/>
        </w:rPr>
      </w:r>
    </w:p>
    <w:p>
      <w:pPr>
        <w:pBdr/>
        <w:tabs>
          <w:tab w:val="left" w:leader="none" w:pos="993"/>
        </w:tabs>
        <w:spacing/>
        <w:ind w:firstLine="567"/>
        <w:jc w:val="both"/>
        <w:rPr>
          <w:sz w:val="28"/>
          <w:szCs w:val="28"/>
        </w:rPr>
      </w:pPr>
      <w:r/>
      <w:bookmarkStart w:id="8" w:name="n215"/>
      <w:r/>
      <w:bookmarkEnd w:id="8"/>
      <w:r>
        <w:rPr>
          <w:sz w:val="28"/>
          <w:szCs w:val="28"/>
        </w:rPr>
        <w:t xml:space="preserve">Контроль за дотриманням Фондом вимог законодавства під час видачі, обслуговування та погашення кредиту здійснює безпосередньо керівник Фонду.</w:t>
      </w:r>
      <w:r>
        <w:rPr>
          <w:sz w:val="28"/>
          <w:szCs w:val="28"/>
        </w:rPr>
      </w:r>
    </w:p>
    <w:p>
      <w:pPr>
        <w:pBdr/>
        <w:tabs>
          <w:tab w:val="left" w:leader="none" w:pos="993"/>
        </w:tabs>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4. Посадові особи, які допустили порушення умов цих Правил, несуть відповідальність згідно із законодавством.</w:t>
      </w:r>
      <w:r>
        <w:rPr>
          <w:sz w:val="28"/>
          <w:szCs w:val="28"/>
        </w:rPr>
      </w:r>
    </w:p>
    <w:p>
      <w:pPr>
        <w:pBdr/>
        <w:spacing/>
        <w:ind w:firstLine="567"/>
        <w:jc w:val="both"/>
        <w:rPr>
          <w:sz w:val="28"/>
          <w:szCs w:val="28"/>
        </w:rPr>
      </w:pPr>
      <w:r>
        <w:rPr>
          <w:sz w:val="28"/>
          <w:szCs w:val="28"/>
        </w:rPr>
      </w:r>
      <w:r>
        <w:rPr>
          <w:sz w:val="28"/>
          <w:szCs w:val="28"/>
        </w:rPr>
      </w:r>
    </w:p>
    <w:p>
      <w:pPr>
        <w:pBdr/>
        <w:tabs>
          <w:tab w:val="left" w:leader="none" w:pos="993"/>
        </w:tabs>
        <w:spacing/>
        <w:ind w:firstLine="567"/>
        <w:jc w:val="center"/>
        <w:rPr>
          <w:b/>
          <w:bCs/>
          <w:sz w:val="28"/>
          <w:szCs w:val="28"/>
        </w:rPr>
      </w:pPr>
      <w:r>
        <w:rPr>
          <w:b/>
          <w:bCs/>
          <w:sz w:val="28"/>
          <w:szCs w:val="28"/>
          <w:lang w:val="en-US"/>
        </w:rPr>
        <w:t xml:space="preserve">VI</w:t>
      </w:r>
      <w:r>
        <w:rPr>
          <w:b/>
          <w:bCs/>
          <w:sz w:val="28"/>
          <w:szCs w:val="28"/>
        </w:rPr>
        <w:t xml:space="preserve">. Визначення обсягів бюджетних коштів для надання кредитів </w:t>
      </w:r>
      <w:r>
        <w:rPr>
          <w:b/>
          <w:bCs/>
          <w:sz w:val="28"/>
          <w:szCs w:val="28"/>
        </w:rPr>
        <w:t xml:space="preserve">П</w:t>
      </w:r>
      <w:r>
        <w:rPr>
          <w:b/>
          <w:bCs/>
          <w:sz w:val="28"/>
          <w:szCs w:val="28"/>
        </w:rPr>
        <w:t xml:space="preserve">озичальникам та їх розподіл</w:t>
      </w:r>
      <w:r>
        <w:rPr>
          <w:b/>
          <w:bCs/>
          <w:sz w:val="28"/>
          <w:szCs w:val="28"/>
        </w:rPr>
      </w:r>
    </w:p>
    <w:p>
      <w:pPr>
        <w:pBdr/>
        <w:tabs>
          <w:tab w:val="left" w:leader="none" w:pos="993"/>
        </w:tabs>
        <w:spacing/>
        <w:ind w:firstLine="567"/>
        <w:jc w:val="center"/>
        <w:rPr>
          <w:b/>
          <w:bCs/>
          <w:sz w:val="28"/>
          <w:szCs w:val="28"/>
        </w:rPr>
      </w:pPr>
      <w:r>
        <w:rPr>
          <w:b/>
          <w:bCs/>
          <w:sz w:val="28"/>
          <w:szCs w:val="28"/>
        </w:rPr>
      </w:r>
      <w:r>
        <w:rPr>
          <w:b/>
          <w:bCs/>
          <w:sz w:val="28"/>
          <w:szCs w:val="28"/>
        </w:rPr>
      </w:r>
    </w:p>
    <w:p>
      <w:pPr>
        <w:pStyle w:val="900"/>
        <w:pBdr/>
        <w:shd w:val="clear" w:color="auto" w:fill="ffffff"/>
        <w:spacing w:after="0" w:afterAutospacing="0" w:before="0" w:beforeAutospacing="0"/>
        <w:ind w:firstLine="567"/>
        <w:jc w:val="both"/>
        <w:rPr>
          <w:sz w:val="28"/>
          <w:szCs w:val="28"/>
          <w:lang w:val="uk-UA"/>
        </w:rPr>
      </w:pPr>
      <w:r>
        <w:rPr>
          <w:sz w:val="28"/>
          <w:szCs w:val="28"/>
          <w:lang w:val="uk-UA"/>
        </w:rPr>
        <w:t xml:space="preserve">1. </w:t>
      </w:r>
      <w:r>
        <w:rPr>
          <w:color w:val="000000"/>
          <w:sz w:val="28"/>
          <w:szCs w:val="28"/>
          <w:lang w:val="uk-UA"/>
        </w:rPr>
        <w:t xml:space="preserve">Під час складання </w:t>
      </w:r>
      <w:r>
        <w:rPr>
          <w:color w:val="000000"/>
          <w:sz w:val="28"/>
          <w:szCs w:val="28"/>
          <w:lang w:val="uk-UA"/>
        </w:rPr>
        <w:t xml:space="preserve">проєктів</w:t>
      </w:r>
      <w:r>
        <w:rPr>
          <w:color w:val="000000"/>
          <w:sz w:val="28"/>
          <w:szCs w:val="28"/>
          <w:lang w:val="uk-UA"/>
        </w:rPr>
        <w:t xml:space="preserve"> місцевих бюджетів Фонд визначає потребу у коштах для пільгового кредитування </w:t>
      </w:r>
      <w:bookmarkStart w:id="9" w:name="n99"/>
      <w:r/>
      <w:bookmarkEnd w:id="9"/>
      <w:r>
        <w:rPr>
          <w:sz w:val="28"/>
          <w:szCs w:val="28"/>
          <w:lang w:val="uk-UA"/>
        </w:rPr>
        <w:t xml:space="preserve">жителів малих міст Чернігівської області за </w:t>
      </w:r>
      <w:r>
        <w:rPr>
          <w:sz w:val="28"/>
          <w:szCs w:val="28"/>
          <w:lang w:val="uk-UA"/>
        </w:rPr>
        <w:t xml:space="preserve">П</w:t>
      </w:r>
      <w:r>
        <w:rPr>
          <w:sz w:val="28"/>
          <w:szCs w:val="28"/>
          <w:lang w:val="uk-UA"/>
        </w:rPr>
        <w:t xml:space="preserve">рограмою.</w:t>
      </w:r>
      <w:r>
        <w:rPr>
          <w:sz w:val="28"/>
          <w:szCs w:val="28"/>
          <w:lang w:val="uk-UA"/>
        </w:rPr>
      </w:r>
    </w:p>
    <w:p>
      <w:pPr>
        <w:pStyle w:val="900"/>
        <w:pBdr/>
        <w:shd w:val="clear" w:color="auto" w:fill="ffffff"/>
        <w:spacing w:after="0" w:afterAutospacing="0" w:before="0" w:beforeAutospacing="0"/>
        <w:ind w:firstLine="567"/>
        <w:jc w:val="both"/>
        <w:rPr>
          <w:sz w:val="28"/>
          <w:szCs w:val="28"/>
          <w:lang w:val="uk-UA"/>
        </w:rPr>
      </w:pPr>
      <w:r>
        <w:rPr>
          <w:color w:val="000000"/>
          <w:sz w:val="28"/>
          <w:szCs w:val="28"/>
          <w:lang w:val="uk-UA"/>
        </w:rPr>
        <w:t xml:space="preserve">Пропозиції Фонду щодо обсягу</w:t>
      </w:r>
      <w:r>
        <w:rPr>
          <w:sz w:val="28"/>
          <w:szCs w:val="28"/>
          <w:lang w:val="uk-UA"/>
        </w:rPr>
        <w:t xml:space="preserve"> необхідних асигнувань з місцевих бюджетів в установленому порядку направляються до відповідних розпорядників бюджетних коштів.</w:t>
      </w:r>
      <w:r>
        <w:rPr>
          <w:sz w:val="28"/>
          <w:szCs w:val="28"/>
          <w:lang w:val="uk-UA"/>
        </w:rPr>
      </w:r>
    </w:p>
    <w:p>
      <w:pPr>
        <w:pStyle w:val="900"/>
        <w:pBdr/>
        <w:shd w:val="clear" w:color="auto" w:fill="ffffff"/>
        <w:spacing w:after="0" w:afterAutospacing="0" w:before="0" w:beforeAutospacing="0"/>
        <w:ind w:firstLine="567"/>
        <w:jc w:val="both"/>
        <w:rPr>
          <w:color w:val="000000"/>
          <w:sz w:val="28"/>
          <w:szCs w:val="28"/>
          <w:lang w:val="uk-UA"/>
        </w:rPr>
      </w:pPr>
      <w:r>
        <w:rPr>
          <w:color w:val="000000"/>
          <w:sz w:val="28"/>
          <w:szCs w:val="28"/>
          <w:lang w:val="uk-UA"/>
        </w:rPr>
      </w:r>
      <w:r>
        <w:rPr>
          <w:color w:val="000000"/>
          <w:sz w:val="28"/>
          <w:szCs w:val="28"/>
          <w:lang w:val="uk-UA"/>
        </w:rPr>
      </w:r>
    </w:p>
    <w:p>
      <w:pPr>
        <w:pBdr/>
        <w:spacing/>
        <w:ind w:firstLine="567"/>
        <w:jc w:val="both"/>
        <w:rPr>
          <w:sz w:val="28"/>
          <w:szCs w:val="28"/>
        </w:rPr>
      </w:pPr>
      <w:r>
        <w:rPr>
          <w:sz w:val="28"/>
          <w:szCs w:val="28"/>
        </w:rPr>
        <w:t xml:space="preserve">2. Заплановані та одержані з бюджетних джерел кошти, які не використано Фондом у звітному бюджетному році, вилученню не підлягають і використовуються за призначенням у наступному році.</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3. Надання кредитів жителям малих міст у відповідності до цих Правил здійснюється Фондом за рахунок коштів обласного бюджету та бюджетів малих міст, а за рахунок інших (позабюджетних) джерел – на договірних умовах.</w:t>
      </w:r>
      <w:r>
        <w:rPr>
          <w:sz w:val="28"/>
          <w:szCs w:val="28"/>
        </w:rPr>
      </w:r>
    </w:p>
    <w:p>
      <w:pPr>
        <w:pBdr/>
        <w:spacing/>
        <w:ind w:firstLine="567"/>
        <w:jc w:val="both"/>
        <w:rPr>
          <w:sz w:val="28"/>
          <w:szCs w:val="28"/>
        </w:rPr>
      </w:pPr>
      <w:r>
        <w:rPr>
          <w:sz w:val="28"/>
          <w:szCs w:val="28"/>
        </w:rPr>
      </w:r>
      <w:r>
        <w:rPr>
          <w:sz w:val="28"/>
          <w:szCs w:val="28"/>
        </w:rPr>
      </w:r>
    </w:p>
    <w:p>
      <w:pPr>
        <w:pBdr/>
        <w:spacing/>
        <w:ind w:firstLine="567"/>
        <w:jc w:val="both"/>
        <w:rPr>
          <w:sz w:val="28"/>
          <w:szCs w:val="28"/>
        </w:rPr>
      </w:pPr>
      <w:r>
        <w:rPr>
          <w:sz w:val="28"/>
          <w:szCs w:val="28"/>
        </w:rPr>
        <w:t xml:space="preserve">4. Витрати </w:t>
      </w:r>
      <w:r>
        <w:rPr>
          <w:sz w:val="28"/>
          <w:szCs w:val="28"/>
        </w:rPr>
        <w:t xml:space="preserve">Фонду, необхідні для виконання діяльності з кредитування жителів малих міст, здійснюються у межах затвердженого кошторису і покриваються коштами, одержаними від кредитування, в тому числі відсотками за користування кредитами, відшкодування Позичальниками (</w:t>
      </w:r>
      <w:r>
        <w:rPr>
          <w:sz w:val="28"/>
          <w:szCs w:val="28"/>
        </w:rPr>
        <w:t xml:space="preserve">за</w:t>
      </w:r>
      <w:r>
        <w:rPr>
          <w:sz w:val="28"/>
          <w:szCs w:val="28"/>
        </w:rPr>
        <w:t xml:space="preserve"> затвердженим</w:t>
      </w:r>
      <w:r>
        <w:rPr>
          <w:sz w:val="28"/>
          <w:szCs w:val="28"/>
        </w:rPr>
        <w:t xml:space="preserve">и</w:t>
      </w:r>
      <w:r>
        <w:rPr>
          <w:sz w:val="28"/>
          <w:szCs w:val="28"/>
        </w:rPr>
        <w:t xml:space="preserve"> Фондом тарифа</w:t>
      </w:r>
      <w:r>
        <w:rPr>
          <w:sz w:val="28"/>
          <w:szCs w:val="28"/>
        </w:rPr>
        <w:t xml:space="preserve">ми</w:t>
      </w:r>
      <w:r>
        <w:rPr>
          <w:sz w:val="28"/>
          <w:szCs w:val="28"/>
        </w:rPr>
        <w:t xml:space="preserve">) витрат </w:t>
      </w:r>
      <w:r>
        <w:rPr>
          <w:sz w:val="28"/>
          <w:szCs w:val="28"/>
        </w:rPr>
        <w:t xml:space="preserve">з</w:t>
      </w:r>
      <w:r>
        <w:rPr>
          <w:sz w:val="28"/>
          <w:szCs w:val="28"/>
        </w:rPr>
        <w:t xml:space="preserve"> наданн</w:t>
      </w:r>
      <w:r>
        <w:rPr>
          <w:sz w:val="28"/>
          <w:szCs w:val="28"/>
        </w:rPr>
        <w:t xml:space="preserve">я</w:t>
      </w:r>
      <w:r>
        <w:rPr>
          <w:sz w:val="28"/>
          <w:szCs w:val="28"/>
        </w:rPr>
        <w:t xml:space="preserve">, обслуговуванн</w:t>
      </w:r>
      <w:r>
        <w:rPr>
          <w:sz w:val="28"/>
          <w:szCs w:val="28"/>
        </w:rPr>
        <w:t xml:space="preserve">я</w:t>
      </w:r>
      <w:r>
        <w:rPr>
          <w:sz w:val="28"/>
          <w:szCs w:val="28"/>
        </w:rPr>
        <w:t xml:space="preserve">, поверненн</w:t>
      </w:r>
      <w:r>
        <w:rPr>
          <w:sz w:val="28"/>
          <w:szCs w:val="28"/>
        </w:rPr>
        <w:t xml:space="preserve">я</w:t>
      </w:r>
      <w:r>
        <w:rPr>
          <w:sz w:val="28"/>
          <w:szCs w:val="28"/>
        </w:rPr>
        <w:t xml:space="preserve"> кредитів та </w:t>
      </w:r>
      <w:r>
        <w:rPr>
          <w:sz w:val="28"/>
          <w:szCs w:val="28"/>
        </w:rPr>
        <w:t xml:space="preserve">відшкодувань</w:t>
      </w:r>
      <w:r>
        <w:rPr>
          <w:sz w:val="28"/>
          <w:szCs w:val="28"/>
        </w:rPr>
        <w:t xml:space="preserve"> інших витрат Фонду, пов’язаних з кредитуванням, а також за рахунок інших джерел фінансування, не заборонених законодавством. </w:t>
      </w:r>
      <w:r>
        <w:rPr>
          <w:sz w:val="28"/>
          <w:szCs w:val="28"/>
        </w:rPr>
      </w:r>
    </w:p>
    <w:p>
      <w:pPr>
        <w:pStyle w:val="901"/>
        <w:pBdr/>
        <w:spacing/>
        <w:ind/>
        <w:rPr>
          <w:b w:val="0"/>
          <w:bCs/>
          <w:iCs/>
        </w:rPr>
      </w:pPr>
      <w:r>
        <w:rPr>
          <w:b w:val="0"/>
          <w:bCs/>
          <w:iCs/>
        </w:rPr>
      </w:r>
      <w:r>
        <w:rPr>
          <w:b w:val="0"/>
          <w:bCs/>
          <w:iCs/>
        </w:rPr>
      </w:r>
    </w:p>
    <w:p>
      <w:pPr>
        <w:pStyle w:val="901"/>
        <w:pBdr/>
        <w:spacing/>
        <w:ind/>
        <w:rPr>
          <w:b w:val="0"/>
          <w:bCs/>
          <w:iCs/>
        </w:rPr>
      </w:pPr>
      <w:r>
        <w:rPr>
          <w:b w:val="0"/>
          <w:bCs/>
          <w:iCs/>
        </w:rPr>
      </w:r>
      <w:r>
        <w:rPr>
          <w:b w:val="0"/>
          <w:bCs/>
          <w:iCs/>
        </w:rPr>
      </w:r>
    </w:p>
    <w:p>
      <w:pPr>
        <w:pStyle w:val="901"/>
        <w:pBdr/>
        <w:spacing/>
        <w:ind/>
        <w:rPr>
          <w:b w:val="0"/>
          <w:bCs/>
          <w:iCs/>
        </w:rPr>
      </w:pPr>
      <w:r>
        <w:rPr>
          <w:b w:val="0"/>
          <w:bCs/>
          <w:iCs/>
        </w:rPr>
        <w:t xml:space="preserve">В.о. д</w:t>
      </w:r>
      <w:r>
        <w:rPr>
          <w:b w:val="0"/>
          <w:bCs/>
          <w:iCs/>
        </w:rPr>
        <w:t xml:space="preserve">иректор</w:t>
      </w:r>
      <w:r>
        <w:rPr>
          <w:b w:val="0"/>
          <w:bCs/>
          <w:iCs/>
        </w:rPr>
        <w:t xml:space="preserve">а</w:t>
      </w:r>
      <w:r>
        <w:rPr>
          <w:b w:val="0"/>
          <w:bCs/>
          <w:iCs/>
        </w:rPr>
        <w:t xml:space="preserve"> Департаменту </w:t>
      </w:r>
      <w:r>
        <w:rPr>
          <w:b w:val="0"/>
          <w:bCs/>
          <w:iCs/>
        </w:rPr>
      </w:r>
    </w:p>
    <w:p>
      <w:pPr>
        <w:pStyle w:val="901"/>
        <w:pBdr/>
        <w:spacing/>
        <w:ind/>
        <w:rPr>
          <w:b w:val="0"/>
          <w:bCs/>
          <w:iCs/>
        </w:rPr>
      </w:pPr>
      <w:r>
        <w:rPr>
          <w:b w:val="0"/>
          <w:bCs/>
          <w:iCs/>
        </w:rPr>
        <w:t xml:space="preserve">економічного розвитку</w:t>
      </w:r>
      <w:r>
        <w:rPr>
          <w:b w:val="0"/>
          <w:bCs/>
          <w:iCs/>
        </w:rPr>
        <w:t xml:space="preserve"> Чернігівської</w:t>
      </w:r>
      <w:r>
        <w:rPr>
          <w:b w:val="0"/>
          <w:bCs/>
          <w:iCs/>
        </w:rPr>
      </w:r>
    </w:p>
    <w:p>
      <w:pPr>
        <w:pStyle w:val="901"/>
        <w:pBdr/>
        <w:spacing/>
        <w:ind/>
        <w:rPr>
          <w:b w:val="0"/>
          <w:bCs/>
          <w:iCs/>
        </w:rPr>
      </w:pPr>
      <w:r>
        <w:rPr>
          <w:b w:val="0"/>
          <w:bCs/>
          <w:iCs/>
        </w:rPr>
        <w:t xml:space="preserve">обласної державної адміністрації</w:t>
      </w:r>
      <w:r>
        <w:rPr>
          <w:b w:val="0"/>
          <w:bCs/>
          <w:iCs/>
        </w:rPr>
        <w:tab/>
        <w:t xml:space="preserve">               </w:t>
      </w:r>
      <w:r>
        <w:rPr>
          <w:b w:val="0"/>
          <w:bCs/>
          <w:iCs/>
        </w:rPr>
        <w:tab/>
      </w:r>
      <w:r>
        <w:rPr>
          <w:b w:val="0"/>
          <w:bCs/>
          <w:iCs/>
        </w:rPr>
        <w:tab/>
        <w:t xml:space="preserve">   </w:t>
      </w:r>
      <w:r>
        <w:rPr>
          <w:b w:val="0"/>
          <w:bCs/>
          <w:iCs/>
        </w:rPr>
        <w:t xml:space="preserve">            </w:t>
      </w:r>
      <w:r>
        <w:rPr>
          <w:b w:val="0"/>
          <w:bCs/>
          <w:iCs/>
        </w:rPr>
        <w:t xml:space="preserve">  </w:t>
      </w:r>
      <w:r>
        <w:rPr>
          <w:b w:val="0"/>
          <w:bCs/>
          <w:iCs/>
        </w:rPr>
        <w:t xml:space="preserve">Леся КОЗАЧОК</w:t>
      </w:r>
      <w:r>
        <w:rPr>
          <w:b w:val="0"/>
          <w:bCs/>
          <w:iCs/>
        </w:rPr>
      </w:r>
    </w:p>
    <w:p>
      <w:pPr>
        <w:pStyle w:val="901"/>
        <w:pBdr/>
        <w:spacing/>
        <w:ind/>
        <w:rPr>
          <w:b w:val="0"/>
          <w:bCs/>
          <w:iCs/>
        </w:rPr>
      </w:pPr>
      <w:r>
        <w:rPr>
          <w:b w:val="0"/>
          <w:bCs/>
          <w:iCs/>
        </w:rPr>
      </w:r>
      <w:r>
        <w:rPr>
          <w:b w:val="0"/>
          <w:bCs/>
          <w:iCs/>
        </w:rPr>
      </w:r>
    </w:p>
    <w:p>
      <w:pPr>
        <w:pStyle w:val="901"/>
        <w:pBdr/>
        <w:spacing/>
        <w:ind/>
        <w:rPr>
          <w:b w:val="0"/>
          <w:bCs/>
          <w:iCs/>
        </w:rPr>
      </w:pPr>
      <w:r>
        <w:rPr>
          <w:b w:val="0"/>
          <w:bCs/>
          <w:iCs/>
        </w:rPr>
      </w:r>
      <w:r>
        <w:rPr>
          <w:b w:val="0"/>
          <w:bCs/>
          <w:iCs/>
        </w:rPr>
      </w:r>
    </w:p>
    <w:p>
      <w:pPr>
        <w:pBdr/>
        <w:tabs>
          <w:tab w:val="left" w:leader="none" w:pos="7088"/>
        </w:tabs>
        <w:spacing/>
        <w:ind/>
        <w:rPr>
          <w:sz w:val="28"/>
          <w:szCs w:val="28"/>
        </w:rPr>
      </w:pPr>
      <w:r>
        <w:rPr>
          <w:sz w:val="28"/>
          <w:szCs w:val="28"/>
        </w:rPr>
      </w:r>
      <w:r>
        <w:rPr>
          <w:sz w:val="28"/>
          <w:szCs w:val="28"/>
        </w:rPr>
      </w:r>
    </w:p>
    <w:p>
      <w:pPr>
        <w:pBdr/>
        <w:spacing/>
        <w:ind/>
        <w:jc w:val="center"/>
        <w:rPr>
          <w:sz w:val="28"/>
          <w:szCs w:val="28"/>
        </w:rPr>
      </w:pPr>
      <w:r>
        <w:rPr>
          <w:sz w:val="28"/>
          <w:szCs w:val="28"/>
        </w:rPr>
      </w:r>
      <w:r>
        <w:rPr>
          <w:sz w:val="28"/>
          <w:szCs w:val="28"/>
        </w:rPr>
      </w:r>
    </w:p>
    <w:sectPr>
      <w:headerReference w:type="default" r:id="rId9"/>
      <w:headerReference w:type="first" r:id="rId10"/>
      <w:footnotePr/>
      <w:endnotePr/>
      <w:type w:val="nextPage"/>
      <w:pgSz w:h="16840" w:orient="portrait" w:w="11907"/>
      <w:pgMar w:top="1134" w:right="567" w:bottom="1134" w:left="1701" w:header="284" w:footer="720" w:gutter="0"/>
      <w:pgNumType w:start="1"/>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imSun">
    <w:panose1 w:val="02020603020101020101"/>
  </w:font>
  <w:font w:name="Verdana">
    <w:panose1 w:val="020B06040305040402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4"/>
      <w:pBdr/>
      <w:spacing/>
      <w:ind/>
      <w:jc w:val="center"/>
      <w:rPr/>
    </w:pPr>
    <w:r/>
    <w:r/>
  </w:p>
  <w:p>
    <w:pPr>
      <w:pStyle w:val="884"/>
      <w:pBdr/>
      <w:spacing/>
      <w:ind/>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2</w:t>
    </w:r>
    <w:r>
      <w:rPr>
        <w:sz w:val="28"/>
        <w:szCs w:val="28"/>
      </w:rPr>
      <w:fldChar w:fldCharType="end"/>
    </w:r>
    <w:r>
      <w:rPr>
        <w:sz w:val="28"/>
        <w:szCs w:val="28"/>
      </w:rPr>
    </w:r>
  </w:p>
  <w:p>
    <w:pPr>
      <w:pStyle w:val="884"/>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4"/>
      <w:pBdr/>
      <w:spacing/>
      <w:ind/>
      <w:jc w:val="center"/>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1069"/>
      </w:pPr>
      <w:rPr>
        <w:rFonts w:hint="default" w:cs="Times New Roman"/>
      </w:rPr>
      <w:start w:val="1"/>
      <w:suff w:val="tab"/>
    </w:lvl>
    <w:lvl w:ilvl="1">
      <w:isLgl w:val="false"/>
      <w:lvlJc w:val="left"/>
      <w:lvlText w:val="%2."/>
      <w:numFmt w:val="lowerLetter"/>
      <w:pPr>
        <w:pBdr/>
        <w:spacing/>
        <w:ind w:hanging="360" w:left="1789"/>
      </w:pPr>
      <w:rPr>
        <w:rFonts w:cs="Times New Roman"/>
      </w:rPr>
      <w:start w:val="1"/>
      <w:suff w:val="tab"/>
    </w:lvl>
    <w:lvl w:ilvl="2">
      <w:isLgl w:val="false"/>
      <w:lvlJc w:val="right"/>
      <w:lvlText w:val="%3."/>
      <w:numFmt w:val="lowerRoman"/>
      <w:pPr>
        <w:pBdr/>
        <w:spacing/>
        <w:ind w:hanging="180" w:left="2509"/>
      </w:pPr>
      <w:rPr>
        <w:rFonts w:cs="Times New Roman"/>
      </w:rPr>
      <w:start w:val="1"/>
      <w:suff w:val="tab"/>
    </w:lvl>
    <w:lvl w:ilvl="3">
      <w:isLgl w:val="false"/>
      <w:lvlJc w:val="left"/>
      <w:lvlText w:val="%4."/>
      <w:numFmt w:val="decimal"/>
      <w:pPr>
        <w:pBdr/>
        <w:spacing/>
        <w:ind w:hanging="360" w:left="3229"/>
      </w:pPr>
      <w:rPr>
        <w:rFonts w:cs="Times New Roman"/>
      </w:rPr>
      <w:start w:val="1"/>
      <w:suff w:val="tab"/>
    </w:lvl>
    <w:lvl w:ilvl="4">
      <w:isLgl w:val="false"/>
      <w:lvlJc w:val="left"/>
      <w:lvlText w:val="%5."/>
      <w:numFmt w:val="lowerLetter"/>
      <w:pPr>
        <w:pBdr/>
        <w:spacing/>
        <w:ind w:hanging="360" w:left="3949"/>
      </w:pPr>
      <w:rPr>
        <w:rFonts w:cs="Times New Roman"/>
      </w:rPr>
      <w:start w:val="1"/>
      <w:suff w:val="tab"/>
    </w:lvl>
    <w:lvl w:ilvl="5">
      <w:isLgl w:val="false"/>
      <w:lvlJc w:val="right"/>
      <w:lvlText w:val="%6."/>
      <w:numFmt w:val="lowerRoman"/>
      <w:pPr>
        <w:pBdr/>
        <w:spacing/>
        <w:ind w:hanging="180" w:left="4669"/>
      </w:pPr>
      <w:rPr>
        <w:rFonts w:cs="Times New Roman"/>
      </w:rPr>
      <w:start w:val="1"/>
      <w:suff w:val="tab"/>
    </w:lvl>
    <w:lvl w:ilvl="6">
      <w:isLgl w:val="false"/>
      <w:lvlJc w:val="left"/>
      <w:lvlText w:val="%7."/>
      <w:numFmt w:val="decimal"/>
      <w:pPr>
        <w:pBdr/>
        <w:spacing/>
        <w:ind w:hanging="360" w:left="5389"/>
      </w:pPr>
      <w:rPr>
        <w:rFonts w:cs="Times New Roman"/>
      </w:rPr>
      <w:start w:val="1"/>
      <w:suff w:val="tab"/>
    </w:lvl>
    <w:lvl w:ilvl="7">
      <w:isLgl w:val="false"/>
      <w:lvlJc w:val="left"/>
      <w:lvlText w:val="%8."/>
      <w:numFmt w:val="lowerLetter"/>
      <w:pPr>
        <w:pBdr/>
        <w:spacing/>
        <w:ind w:hanging="360" w:left="6109"/>
      </w:pPr>
      <w:rPr>
        <w:rFonts w:cs="Times New Roman"/>
      </w:rPr>
      <w:start w:val="1"/>
      <w:suff w:val="tab"/>
    </w:lvl>
    <w:lvl w:ilvl="8">
      <w:isLgl w:val="false"/>
      <w:lvlJc w:val="right"/>
      <w:lvlText w:val="%9."/>
      <w:numFmt w:val="lowerRoman"/>
      <w:pPr>
        <w:pBdr/>
        <w:spacing/>
        <w:ind w:hanging="180" w:left="6829"/>
      </w:pPr>
      <w:rPr>
        <w:rFonts w:cs="Times New Roman"/>
      </w:rPr>
      <w:start w:val="1"/>
      <w:suff w:val="tab"/>
    </w:lvl>
  </w:abstractNum>
  <w:abstractNum w:abstractNumId="1">
    <w:lvl w:ilvl="0">
      <w:isLgl w:val="false"/>
      <w:lvlJc w:val="left"/>
      <w:lvlText w:val="-"/>
      <w:numFmt w:val="bullet"/>
      <w:pPr>
        <w:pBdr/>
        <w:spacing/>
        <w:ind w:hanging="360" w:left="927"/>
      </w:pPr>
      <w:rPr>
        <w:rFonts w:hint="default" w:ascii="Times New Roman" w:hAnsi="Times New Roman" w:eastAsia="Times New Roman"/>
        <w:color w:val="auto"/>
      </w:rPr>
      <w:start w:val="3"/>
      <w:suff w:val="tab"/>
    </w:lvl>
    <w:lvl w:ilvl="1">
      <w:isLgl w:val="false"/>
      <w:lvlJc w:val="left"/>
      <w:lvlText w:val="o"/>
      <w:numFmt w:val="bullet"/>
      <w:pPr>
        <w:pBdr/>
        <w:spacing/>
        <w:ind w:hanging="360" w:left="1647"/>
      </w:pPr>
      <w:rPr>
        <w:rFonts w:hint="default" w:ascii="Courier New" w:hAnsi="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2">
    <w:lvl w:ilvl="0">
      <w:isLgl w:val="false"/>
      <w:lvlJc w:val="left"/>
      <w:lvlText w:val="%1."/>
      <w:numFmt w:val="decimal"/>
      <w:pPr>
        <w:pBdr/>
        <w:spacing/>
        <w:ind w:hanging="360" w:left="1069"/>
      </w:pPr>
      <w:rPr>
        <w:rFonts w:hint="default" w:cs="Times New Roman"/>
      </w:rPr>
      <w:start w:val="1"/>
      <w:suff w:val="tab"/>
    </w:lvl>
    <w:lvl w:ilvl="1">
      <w:isLgl w:val="false"/>
      <w:lvlJc w:val="left"/>
      <w:lvlText w:val="%2."/>
      <w:numFmt w:val="lowerLetter"/>
      <w:pPr>
        <w:pBdr/>
        <w:spacing/>
        <w:ind w:hanging="360" w:left="1789"/>
      </w:pPr>
      <w:rPr>
        <w:rFonts w:cs="Times New Roman"/>
      </w:rPr>
      <w:start w:val="1"/>
      <w:suff w:val="tab"/>
    </w:lvl>
    <w:lvl w:ilvl="2">
      <w:isLgl w:val="false"/>
      <w:lvlJc w:val="right"/>
      <w:lvlText w:val="%3."/>
      <w:numFmt w:val="lowerRoman"/>
      <w:pPr>
        <w:pBdr/>
        <w:spacing/>
        <w:ind w:hanging="180" w:left="2509"/>
      </w:pPr>
      <w:rPr>
        <w:rFonts w:cs="Times New Roman"/>
      </w:rPr>
      <w:start w:val="1"/>
      <w:suff w:val="tab"/>
    </w:lvl>
    <w:lvl w:ilvl="3">
      <w:isLgl w:val="false"/>
      <w:lvlJc w:val="left"/>
      <w:lvlText w:val="%4."/>
      <w:numFmt w:val="decimal"/>
      <w:pPr>
        <w:pBdr/>
        <w:spacing/>
        <w:ind w:hanging="360" w:left="3229"/>
      </w:pPr>
      <w:rPr>
        <w:rFonts w:cs="Times New Roman"/>
      </w:rPr>
      <w:start w:val="1"/>
      <w:suff w:val="tab"/>
    </w:lvl>
    <w:lvl w:ilvl="4">
      <w:isLgl w:val="false"/>
      <w:lvlJc w:val="left"/>
      <w:lvlText w:val="%5."/>
      <w:numFmt w:val="lowerLetter"/>
      <w:pPr>
        <w:pBdr/>
        <w:spacing/>
        <w:ind w:hanging="360" w:left="3949"/>
      </w:pPr>
      <w:rPr>
        <w:rFonts w:cs="Times New Roman"/>
      </w:rPr>
      <w:start w:val="1"/>
      <w:suff w:val="tab"/>
    </w:lvl>
    <w:lvl w:ilvl="5">
      <w:isLgl w:val="false"/>
      <w:lvlJc w:val="right"/>
      <w:lvlText w:val="%6."/>
      <w:numFmt w:val="lowerRoman"/>
      <w:pPr>
        <w:pBdr/>
        <w:spacing/>
        <w:ind w:hanging="180" w:left="4669"/>
      </w:pPr>
      <w:rPr>
        <w:rFonts w:cs="Times New Roman"/>
      </w:rPr>
      <w:start w:val="1"/>
      <w:suff w:val="tab"/>
    </w:lvl>
    <w:lvl w:ilvl="6">
      <w:isLgl w:val="false"/>
      <w:lvlJc w:val="left"/>
      <w:lvlText w:val="%7."/>
      <w:numFmt w:val="decimal"/>
      <w:pPr>
        <w:pBdr/>
        <w:spacing/>
        <w:ind w:hanging="360" w:left="5389"/>
      </w:pPr>
      <w:rPr>
        <w:rFonts w:cs="Times New Roman"/>
      </w:rPr>
      <w:start w:val="1"/>
      <w:suff w:val="tab"/>
    </w:lvl>
    <w:lvl w:ilvl="7">
      <w:isLgl w:val="false"/>
      <w:lvlJc w:val="left"/>
      <w:lvlText w:val="%8."/>
      <w:numFmt w:val="lowerLetter"/>
      <w:pPr>
        <w:pBdr/>
        <w:spacing/>
        <w:ind w:hanging="360" w:left="6109"/>
      </w:pPr>
      <w:rPr>
        <w:rFonts w:cs="Times New Roman"/>
      </w:rPr>
      <w:start w:val="1"/>
      <w:suff w:val="tab"/>
    </w:lvl>
    <w:lvl w:ilvl="8">
      <w:isLgl w:val="false"/>
      <w:lvlJc w:val="right"/>
      <w:lvlText w:val="%9."/>
      <w:numFmt w:val="lowerRoman"/>
      <w:pPr>
        <w:pBdr/>
        <w:spacing/>
        <w:ind w:hanging="180" w:left="6829"/>
      </w:pPr>
      <w:rPr>
        <w:rFonts w:cs="Times New Roman"/>
      </w:rPr>
      <w:start w:val="1"/>
      <w:suff w:val="tab"/>
    </w:lvl>
  </w:abstractNum>
  <w:abstractNum w:abstractNumId="3">
    <w:lvl w:ilvl="0">
      <w:isLgl w:val="false"/>
      <w:lvlJc w:val="left"/>
      <w:lvlText w:val="%1."/>
      <w:numFmt w:val="decimal"/>
      <w:pPr>
        <w:pBdr/>
        <w:spacing/>
        <w:ind w:hanging="360" w:left="930"/>
      </w:pPr>
      <w:rPr>
        <w:rFonts w:hint="default" w:cs="Times New Roman"/>
      </w:rPr>
      <w:start w:val="1"/>
      <w:suff w:val="tab"/>
    </w:lvl>
    <w:lvl w:ilvl="1">
      <w:isLgl w:val="false"/>
      <w:lvlJc w:val="left"/>
      <w:lvlText w:val="%2."/>
      <w:numFmt w:val="lowerLetter"/>
      <w:pPr>
        <w:pBdr/>
        <w:spacing/>
        <w:ind w:hanging="360" w:left="1650"/>
      </w:pPr>
      <w:rPr>
        <w:rFonts w:cs="Times New Roman"/>
      </w:rPr>
      <w:start w:val="1"/>
      <w:suff w:val="tab"/>
    </w:lvl>
    <w:lvl w:ilvl="2">
      <w:isLgl w:val="false"/>
      <w:lvlJc w:val="right"/>
      <w:lvlText w:val="%3."/>
      <w:numFmt w:val="lowerRoman"/>
      <w:pPr>
        <w:pBdr/>
        <w:spacing/>
        <w:ind w:hanging="180" w:left="2370"/>
      </w:pPr>
      <w:rPr>
        <w:rFonts w:cs="Times New Roman"/>
      </w:rPr>
      <w:start w:val="1"/>
      <w:suff w:val="tab"/>
    </w:lvl>
    <w:lvl w:ilvl="3">
      <w:isLgl w:val="false"/>
      <w:lvlJc w:val="left"/>
      <w:lvlText w:val="%4."/>
      <w:numFmt w:val="decimal"/>
      <w:pPr>
        <w:pBdr/>
        <w:spacing/>
        <w:ind w:hanging="360" w:left="3090"/>
      </w:pPr>
      <w:rPr>
        <w:rFonts w:cs="Times New Roman"/>
      </w:rPr>
      <w:start w:val="1"/>
      <w:suff w:val="tab"/>
    </w:lvl>
    <w:lvl w:ilvl="4">
      <w:isLgl w:val="false"/>
      <w:lvlJc w:val="left"/>
      <w:lvlText w:val="%5."/>
      <w:numFmt w:val="lowerLetter"/>
      <w:pPr>
        <w:pBdr/>
        <w:spacing/>
        <w:ind w:hanging="360" w:left="3810"/>
      </w:pPr>
      <w:rPr>
        <w:rFonts w:cs="Times New Roman"/>
      </w:rPr>
      <w:start w:val="1"/>
      <w:suff w:val="tab"/>
    </w:lvl>
    <w:lvl w:ilvl="5">
      <w:isLgl w:val="false"/>
      <w:lvlJc w:val="right"/>
      <w:lvlText w:val="%6."/>
      <w:numFmt w:val="lowerRoman"/>
      <w:pPr>
        <w:pBdr/>
        <w:spacing/>
        <w:ind w:hanging="180" w:left="4530"/>
      </w:pPr>
      <w:rPr>
        <w:rFonts w:cs="Times New Roman"/>
      </w:rPr>
      <w:start w:val="1"/>
      <w:suff w:val="tab"/>
    </w:lvl>
    <w:lvl w:ilvl="6">
      <w:isLgl w:val="false"/>
      <w:lvlJc w:val="left"/>
      <w:lvlText w:val="%7."/>
      <w:numFmt w:val="decimal"/>
      <w:pPr>
        <w:pBdr/>
        <w:spacing/>
        <w:ind w:hanging="360" w:left="5250"/>
      </w:pPr>
      <w:rPr>
        <w:rFonts w:cs="Times New Roman"/>
      </w:rPr>
      <w:start w:val="1"/>
      <w:suff w:val="tab"/>
    </w:lvl>
    <w:lvl w:ilvl="7">
      <w:isLgl w:val="false"/>
      <w:lvlJc w:val="left"/>
      <w:lvlText w:val="%8."/>
      <w:numFmt w:val="lowerLetter"/>
      <w:pPr>
        <w:pBdr/>
        <w:spacing/>
        <w:ind w:hanging="360" w:left="5970"/>
      </w:pPr>
      <w:rPr>
        <w:rFonts w:cs="Times New Roman"/>
      </w:rPr>
      <w:start w:val="1"/>
      <w:suff w:val="tab"/>
    </w:lvl>
    <w:lvl w:ilvl="8">
      <w:isLgl w:val="false"/>
      <w:lvlJc w:val="right"/>
      <w:lvlText w:val="%9."/>
      <w:numFmt w:val="lowerRoman"/>
      <w:pPr>
        <w:pBdr/>
        <w:spacing/>
        <w:ind w:hanging="180" w:left="6690"/>
      </w:pPr>
      <w:rPr>
        <w:rFonts w:cs="Times New Roman"/>
      </w:rPr>
      <w:start w:val="1"/>
      <w:suff w:val="tab"/>
    </w:lvl>
  </w:abstractNum>
  <w:abstractNum w:abstractNumId="4">
    <w:lvl w:ilvl="0">
      <w:isLgl w:val="false"/>
      <w:lvlJc w:val="left"/>
      <w:lvlText w:val="%1."/>
      <w:numFmt w:val="decimal"/>
      <w:pPr>
        <w:pBdr/>
        <w:spacing/>
        <w:ind w:hanging="360" w:left="720"/>
      </w:pPr>
      <w:rPr>
        <w:rFonts w:hint="default" w:cs="Times New Roman"/>
      </w:rPr>
      <w:start w:val="1"/>
      <w:suff w:val="tab"/>
    </w:lvl>
    <w:lvl w:ilvl="1">
      <w:isLgl w:val="false"/>
      <w:lvlJc w:val="left"/>
      <w:lvlText w:val="%2."/>
      <w:numFmt w:val="lowerLetter"/>
      <w:pPr>
        <w:pBdr/>
        <w:spacing/>
        <w:ind w:hanging="360" w:left="1440"/>
      </w:pPr>
      <w:rPr>
        <w:rFonts w:cs="Times New Roman"/>
      </w:rPr>
      <w:start w:val="1"/>
      <w:suff w:val="tab"/>
    </w:lvl>
    <w:lvl w:ilvl="2">
      <w:isLgl w:val="false"/>
      <w:lvlJc w:val="right"/>
      <w:lvlText w:val="%3."/>
      <w:numFmt w:val="lowerRoman"/>
      <w:pPr>
        <w:pBdr/>
        <w:spacing/>
        <w:ind w:hanging="180" w:left="2160"/>
      </w:pPr>
      <w:rPr>
        <w:rFonts w:cs="Times New Roman"/>
      </w:rPr>
      <w:start w:val="1"/>
      <w:suff w:val="tab"/>
    </w:lvl>
    <w:lvl w:ilvl="3">
      <w:isLgl w:val="false"/>
      <w:lvlJc w:val="left"/>
      <w:lvlText w:val="%4."/>
      <w:numFmt w:val="decimal"/>
      <w:pPr>
        <w:pBdr/>
        <w:spacing/>
        <w:ind w:hanging="360" w:left="2880"/>
      </w:pPr>
      <w:rPr>
        <w:rFonts w:cs="Times New Roman"/>
      </w:rPr>
      <w:start w:val="1"/>
      <w:suff w:val="tab"/>
    </w:lvl>
    <w:lvl w:ilvl="4">
      <w:isLgl w:val="false"/>
      <w:lvlJc w:val="left"/>
      <w:lvlText w:val="%5."/>
      <w:numFmt w:val="lowerLetter"/>
      <w:pPr>
        <w:pBdr/>
        <w:spacing/>
        <w:ind w:hanging="360" w:left="3600"/>
      </w:pPr>
      <w:rPr>
        <w:rFonts w:cs="Times New Roman"/>
      </w:rPr>
      <w:start w:val="1"/>
      <w:suff w:val="tab"/>
    </w:lvl>
    <w:lvl w:ilvl="5">
      <w:isLgl w:val="false"/>
      <w:lvlJc w:val="right"/>
      <w:lvlText w:val="%6."/>
      <w:numFmt w:val="lowerRoman"/>
      <w:pPr>
        <w:pBdr/>
        <w:spacing/>
        <w:ind w:hanging="180" w:left="4320"/>
      </w:pPr>
      <w:rPr>
        <w:rFonts w:cs="Times New Roman"/>
      </w:rPr>
      <w:start w:val="1"/>
      <w:suff w:val="tab"/>
    </w:lvl>
    <w:lvl w:ilvl="6">
      <w:isLgl w:val="false"/>
      <w:lvlJc w:val="left"/>
      <w:lvlText w:val="%7."/>
      <w:numFmt w:val="decimal"/>
      <w:pPr>
        <w:pBdr/>
        <w:spacing/>
        <w:ind w:hanging="360" w:left="5040"/>
      </w:pPr>
      <w:rPr>
        <w:rFonts w:cs="Times New Roman"/>
      </w:rPr>
      <w:start w:val="1"/>
      <w:suff w:val="tab"/>
    </w:lvl>
    <w:lvl w:ilvl="7">
      <w:isLgl w:val="false"/>
      <w:lvlJc w:val="left"/>
      <w:lvlText w:val="%8."/>
      <w:numFmt w:val="lowerLetter"/>
      <w:pPr>
        <w:pBdr/>
        <w:spacing/>
        <w:ind w:hanging="360" w:left="5760"/>
      </w:pPr>
      <w:rPr>
        <w:rFonts w:cs="Times New Roman"/>
      </w:rPr>
      <w:start w:val="1"/>
      <w:suff w:val="tab"/>
    </w:lvl>
    <w:lvl w:ilvl="8">
      <w:isLgl w:val="false"/>
      <w:lvlJc w:val="right"/>
      <w:lvlText w:val="%9."/>
      <w:numFmt w:val="lowerRoman"/>
      <w:pPr>
        <w:pBdr/>
        <w:spacing/>
        <w:ind w:hanging="180" w:left="6480"/>
      </w:pPr>
      <w:rPr>
        <w:rFonts w:cs="Times New Roman"/>
      </w:rPr>
      <w:start w:val="1"/>
      <w:suff w:val="tab"/>
    </w:lvl>
  </w:abstractNum>
  <w:abstractNum w:abstractNumId="5">
    <w:lvl w:ilvl="0">
      <w:isLgl w:val="false"/>
      <w:lvlJc w:val="left"/>
      <w:lvlText w:val="%1"/>
      <w:numFmt w:val="decimal"/>
      <w:pPr>
        <w:pBdr/>
        <w:spacing/>
        <w:ind w:hanging="360" w:left="720"/>
      </w:pPr>
      <w:rPr>
        <w:rFonts w:hint="default" w:cs="Times New Roman"/>
      </w:rPr>
      <w:start w:val="1"/>
      <w:suff w:val="tab"/>
    </w:lvl>
    <w:lvl w:ilvl="1">
      <w:isLgl w:val="false"/>
      <w:lvlJc w:val="left"/>
      <w:lvlText w:val="%2."/>
      <w:numFmt w:val="lowerLetter"/>
      <w:pPr>
        <w:pBdr/>
        <w:spacing/>
        <w:ind w:hanging="360" w:left="1440"/>
      </w:pPr>
      <w:rPr>
        <w:rFonts w:cs="Times New Roman"/>
      </w:rPr>
      <w:start w:val="1"/>
      <w:suff w:val="tab"/>
    </w:lvl>
    <w:lvl w:ilvl="2">
      <w:isLgl w:val="false"/>
      <w:lvlJc w:val="right"/>
      <w:lvlText w:val="%3."/>
      <w:numFmt w:val="lowerRoman"/>
      <w:pPr>
        <w:pBdr/>
        <w:spacing/>
        <w:ind w:hanging="180" w:left="2160"/>
      </w:pPr>
      <w:rPr>
        <w:rFonts w:cs="Times New Roman"/>
      </w:rPr>
      <w:start w:val="1"/>
      <w:suff w:val="tab"/>
    </w:lvl>
    <w:lvl w:ilvl="3">
      <w:isLgl w:val="false"/>
      <w:lvlJc w:val="left"/>
      <w:lvlText w:val="%4."/>
      <w:numFmt w:val="decimal"/>
      <w:pPr>
        <w:pBdr/>
        <w:spacing/>
        <w:ind w:hanging="360" w:left="2880"/>
      </w:pPr>
      <w:rPr>
        <w:rFonts w:cs="Times New Roman"/>
      </w:rPr>
      <w:start w:val="1"/>
      <w:suff w:val="tab"/>
    </w:lvl>
    <w:lvl w:ilvl="4">
      <w:isLgl w:val="false"/>
      <w:lvlJc w:val="left"/>
      <w:lvlText w:val="%5."/>
      <w:numFmt w:val="lowerLetter"/>
      <w:pPr>
        <w:pBdr/>
        <w:spacing/>
        <w:ind w:hanging="360" w:left="3600"/>
      </w:pPr>
      <w:rPr>
        <w:rFonts w:cs="Times New Roman"/>
      </w:rPr>
      <w:start w:val="1"/>
      <w:suff w:val="tab"/>
    </w:lvl>
    <w:lvl w:ilvl="5">
      <w:isLgl w:val="false"/>
      <w:lvlJc w:val="right"/>
      <w:lvlText w:val="%6."/>
      <w:numFmt w:val="lowerRoman"/>
      <w:pPr>
        <w:pBdr/>
        <w:spacing/>
        <w:ind w:hanging="180" w:left="4320"/>
      </w:pPr>
      <w:rPr>
        <w:rFonts w:cs="Times New Roman"/>
      </w:rPr>
      <w:start w:val="1"/>
      <w:suff w:val="tab"/>
    </w:lvl>
    <w:lvl w:ilvl="6">
      <w:isLgl w:val="false"/>
      <w:lvlJc w:val="left"/>
      <w:lvlText w:val="%7."/>
      <w:numFmt w:val="decimal"/>
      <w:pPr>
        <w:pBdr/>
        <w:spacing/>
        <w:ind w:hanging="360" w:left="5040"/>
      </w:pPr>
      <w:rPr>
        <w:rFonts w:cs="Times New Roman"/>
      </w:rPr>
      <w:start w:val="1"/>
      <w:suff w:val="tab"/>
    </w:lvl>
    <w:lvl w:ilvl="7">
      <w:isLgl w:val="false"/>
      <w:lvlJc w:val="left"/>
      <w:lvlText w:val="%8."/>
      <w:numFmt w:val="lowerLetter"/>
      <w:pPr>
        <w:pBdr/>
        <w:spacing/>
        <w:ind w:hanging="360" w:left="5760"/>
      </w:pPr>
      <w:rPr>
        <w:rFonts w:cs="Times New Roman"/>
      </w:rPr>
      <w:start w:val="1"/>
      <w:suff w:val="tab"/>
    </w:lvl>
    <w:lvl w:ilvl="8">
      <w:isLgl w:val="false"/>
      <w:lvlJc w:val="right"/>
      <w:lvlText w:val="%9."/>
      <w:numFmt w:val="lowerRoman"/>
      <w:pPr>
        <w:pBdr/>
        <w:spacing/>
        <w:ind w:hanging="180" w:left="6480"/>
      </w:pPr>
      <w:rPr>
        <w:rFonts w:cs="Times New Roman"/>
      </w:rPr>
      <w:start w:val="1"/>
      <w:suff w:val="tab"/>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uk-UA" w:eastAsia="uk-UA"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3">
    <w:name w:val="Plain Table 1"/>
    <w:basedOn w:val="72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2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2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2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2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60">
    <w:name w:val="Grid Table 7 Colorful"/>
    <w:basedOn w:val="72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2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2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2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2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character" w:styleId="149">
    <w:name w:val="Heading 1 Char"/>
    <w:basedOn w:val="719"/>
    <w:link w:val="710"/>
    <w:uiPriority w:val="9"/>
    <w:pPr>
      <w:pBdr/>
      <w:spacing/>
      <w:ind/>
    </w:pPr>
    <w:rPr>
      <w:rFonts w:ascii="Arial" w:hAnsi="Arial" w:eastAsia="Arial" w:cs="Arial"/>
      <w:color w:val="0f4761" w:themeColor="accent1" w:themeShade="BF"/>
      <w:sz w:val="40"/>
      <w:szCs w:val="40"/>
    </w:rPr>
  </w:style>
  <w:style w:type="character" w:styleId="150">
    <w:name w:val="Heading 2 Char"/>
    <w:basedOn w:val="719"/>
    <w:link w:val="711"/>
    <w:uiPriority w:val="9"/>
    <w:pPr>
      <w:pBdr/>
      <w:spacing/>
      <w:ind/>
    </w:pPr>
    <w:rPr>
      <w:rFonts w:ascii="Arial" w:hAnsi="Arial" w:eastAsia="Arial" w:cs="Arial"/>
      <w:color w:val="0f4761" w:themeColor="accent1" w:themeShade="BF"/>
      <w:sz w:val="32"/>
      <w:szCs w:val="32"/>
    </w:rPr>
  </w:style>
  <w:style w:type="character" w:styleId="151">
    <w:name w:val="Heading 3 Char"/>
    <w:basedOn w:val="719"/>
    <w:link w:val="712"/>
    <w:uiPriority w:val="9"/>
    <w:pPr>
      <w:pBdr/>
      <w:spacing/>
      <w:ind/>
    </w:pPr>
    <w:rPr>
      <w:rFonts w:ascii="Arial" w:hAnsi="Arial" w:eastAsia="Arial" w:cs="Arial"/>
      <w:color w:val="0f4761" w:themeColor="accent1" w:themeShade="BF"/>
      <w:sz w:val="28"/>
      <w:szCs w:val="28"/>
    </w:rPr>
  </w:style>
  <w:style w:type="character" w:styleId="152">
    <w:name w:val="Heading 4 Char"/>
    <w:basedOn w:val="719"/>
    <w:link w:val="713"/>
    <w:uiPriority w:val="9"/>
    <w:pPr>
      <w:pBdr/>
      <w:spacing/>
      <w:ind/>
    </w:pPr>
    <w:rPr>
      <w:rFonts w:ascii="Arial" w:hAnsi="Arial" w:eastAsia="Arial" w:cs="Arial"/>
      <w:i/>
      <w:iCs/>
      <w:color w:val="0f4761" w:themeColor="accent1" w:themeShade="BF"/>
    </w:rPr>
  </w:style>
  <w:style w:type="character" w:styleId="153">
    <w:name w:val="Heading 5 Char"/>
    <w:basedOn w:val="719"/>
    <w:link w:val="714"/>
    <w:uiPriority w:val="9"/>
    <w:pPr>
      <w:pBdr/>
      <w:spacing/>
      <w:ind/>
    </w:pPr>
    <w:rPr>
      <w:rFonts w:ascii="Arial" w:hAnsi="Arial" w:eastAsia="Arial" w:cs="Arial"/>
      <w:color w:val="0f4761" w:themeColor="accent1" w:themeShade="BF"/>
    </w:rPr>
  </w:style>
  <w:style w:type="character" w:styleId="154">
    <w:name w:val="Heading 6 Char"/>
    <w:basedOn w:val="719"/>
    <w:link w:val="715"/>
    <w:uiPriority w:val="9"/>
    <w:pPr>
      <w:pBdr/>
      <w:spacing/>
      <w:ind/>
    </w:pPr>
    <w:rPr>
      <w:rFonts w:ascii="Arial" w:hAnsi="Arial" w:eastAsia="Arial" w:cs="Arial"/>
      <w:i/>
      <w:iCs/>
      <w:color w:val="595959" w:themeColor="text1" w:themeTint="A6"/>
    </w:rPr>
  </w:style>
  <w:style w:type="character" w:styleId="155">
    <w:name w:val="Heading 7 Char"/>
    <w:basedOn w:val="719"/>
    <w:link w:val="716"/>
    <w:uiPriority w:val="9"/>
    <w:pPr>
      <w:pBdr/>
      <w:spacing/>
      <w:ind/>
    </w:pPr>
    <w:rPr>
      <w:rFonts w:ascii="Arial" w:hAnsi="Arial" w:eastAsia="Arial" w:cs="Arial"/>
      <w:color w:val="595959" w:themeColor="text1" w:themeTint="A6"/>
    </w:rPr>
  </w:style>
  <w:style w:type="character" w:styleId="156">
    <w:name w:val="Heading 8 Char"/>
    <w:basedOn w:val="719"/>
    <w:link w:val="717"/>
    <w:uiPriority w:val="9"/>
    <w:pPr>
      <w:pBdr/>
      <w:spacing/>
      <w:ind/>
    </w:pPr>
    <w:rPr>
      <w:rFonts w:ascii="Arial" w:hAnsi="Arial" w:eastAsia="Arial" w:cs="Arial"/>
      <w:i/>
      <w:iCs/>
      <w:color w:val="272727" w:themeColor="text1" w:themeTint="D8"/>
    </w:rPr>
  </w:style>
  <w:style w:type="character" w:styleId="157">
    <w:name w:val="Heading 9 Char"/>
    <w:basedOn w:val="719"/>
    <w:link w:val="718"/>
    <w:uiPriority w:val="9"/>
    <w:pPr>
      <w:pBdr/>
      <w:spacing/>
      <w:ind/>
    </w:pPr>
    <w:rPr>
      <w:rFonts w:ascii="Arial" w:hAnsi="Arial" w:eastAsia="Arial" w:cs="Arial"/>
      <w:i/>
      <w:iCs/>
      <w:color w:val="272727" w:themeColor="text1" w:themeTint="D8"/>
    </w:rPr>
  </w:style>
  <w:style w:type="character" w:styleId="159">
    <w:name w:val="Title Char"/>
    <w:basedOn w:val="719"/>
    <w:link w:val="857"/>
    <w:uiPriority w:val="10"/>
    <w:pPr>
      <w:pBdr/>
      <w:spacing/>
      <w:ind/>
    </w:pPr>
    <w:rPr>
      <w:rFonts w:ascii="Arial" w:hAnsi="Arial" w:eastAsia="Arial" w:cs="Arial"/>
      <w:spacing w:val="-10"/>
      <w:sz w:val="56"/>
      <w:szCs w:val="56"/>
    </w:rPr>
  </w:style>
  <w:style w:type="character" w:styleId="161">
    <w:name w:val="Subtitle Char"/>
    <w:basedOn w:val="719"/>
    <w:link w:val="859"/>
    <w:uiPriority w:val="11"/>
    <w:pPr>
      <w:pBdr/>
      <w:spacing/>
      <w:ind/>
    </w:pPr>
    <w:rPr>
      <w:color w:val="595959" w:themeColor="text1" w:themeTint="A6"/>
      <w:spacing w:val="15"/>
      <w:sz w:val="28"/>
      <w:szCs w:val="28"/>
    </w:rPr>
  </w:style>
  <w:style w:type="character" w:styleId="163">
    <w:name w:val="Quote Char"/>
    <w:basedOn w:val="719"/>
    <w:link w:val="861"/>
    <w:uiPriority w:val="29"/>
    <w:pPr>
      <w:pBdr/>
      <w:spacing/>
      <w:ind/>
    </w:pPr>
    <w:rPr>
      <w:i/>
      <w:iCs/>
      <w:color w:val="404040" w:themeColor="text1" w:themeTint="BF"/>
    </w:rPr>
  </w:style>
  <w:style w:type="character" w:styleId="167">
    <w:name w:val="Intense Quote Char"/>
    <w:basedOn w:val="719"/>
    <w:link w:val="864"/>
    <w:uiPriority w:val="30"/>
    <w:pPr>
      <w:pBdr/>
      <w:spacing/>
      <w:ind/>
    </w:pPr>
    <w:rPr>
      <w:i/>
      <w:iCs/>
      <w:color w:val="0f4761" w:themeColor="accent1" w:themeShade="BF"/>
    </w:rPr>
  </w:style>
  <w:style w:type="character" w:styleId="181">
    <w:name w:val="Footnote Text Char"/>
    <w:basedOn w:val="719"/>
    <w:link w:val="875"/>
    <w:uiPriority w:val="99"/>
    <w:semiHidden/>
    <w:pPr>
      <w:pBdr/>
      <w:spacing/>
      <w:ind/>
    </w:pPr>
    <w:rPr>
      <w:sz w:val="20"/>
      <w:szCs w:val="20"/>
    </w:rPr>
  </w:style>
  <w:style w:type="character" w:styleId="184">
    <w:name w:val="Endnote Text Char"/>
    <w:basedOn w:val="719"/>
    <w:link w:val="878"/>
    <w:uiPriority w:val="99"/>
    <w:semiHidden/>
    <w:pPr>
      <w:pBdr/>
      <w:spacing/>
      <w:ind/>
    </w:pPr>
    <w:rPr>
      <w:sz w:val="20"/>
      <w:szCs w:val="20"/>
    </w:rPr>
  </w:style>
  <w:style w:type="paragraph" w:styleId="709" w:default="1">
    <w:name w:val="Normal"/>
    <w:qFormat/>
    <w:pPr>
      <w:pBdr/>
      <w:spacing/>
      <w:ind/>
    </w:pPr>
    <w:rPr>
      <w:lang w:eastAsia="ru-RU"/>
    </w:rPr>
  </w:style>
  <w:style w:type="paragraph" w:styleId="710">
    <w:name w:val="Heading 1"/>
    <w:basedOn w:val="709"/>
    <w:next w:val="709"/>
    <w:link w:val="722"/>
    <w:uiPriority w:val="99"/>
    <w:qFormat/>
    <w:pPr>
      <w:keepNext w:val="true"/>
      <w:pBdr/>
      <w:spacing/>
      <w:ind w:hanging="11"/>
      <w:jc w:val="center"/>
      <w:outlineLvl w:val="0"/>
    </w:pPr>
    <w:rPr>
      <w:b/>
      <w:i/>
      <w:sz w:val="28"/>
    </w:rPr>
  </w:style>
  <w:style w:type="paragraph" w:styleId="711">
    <w:name w:val="Heading 2"/>
    <w:basedOn w:val="709"/>
    <w:next w:val="709"/>
    <w:link w:val="723"/>
    <w:uiPriority w:val="99"/>
    <w:qFormat/>
    <w:pPr>
      <w:keepNext w:val="true"/>
      <w:keepLines w:val="true"/>
      <w:pBdr/>
      <w:spacing w:after="80" w:before="160"/>
      <w:ind/>
      <w:outlineLvl w:val="1"/>
    </w:pPr>
    <w:rPr>
      <w:rFonts w:ascii="Arial" w:hAnsi="Arial" w:cs="Arial"/>
      <w:color w:val="365f91"/>
      <w:sz w:val="32"/>
      <w:szCs w:val="32"/>
    </w:rPr>
  </w:style>
  <w:style w:type="paragraph" w:styleId="712">
    <w:name w:val="Heading 3"/>
    <w:basedOn w:val="709"/>
    <w:next w:val="709"/>
    <w:link w:val="724"/>
    <w:uiPriority w:val="99"/>
    <w:qFormat/>
    <w:pPr>
      <w:keepNext w:val="true"/>
      <w:keepLines w:val="true"/>
      <w:pBdr/>
      <w:spacing w:after="80" w:before="160"/>
      <w:ind/>
      <w:outlineLvl w:val="2"/>
    </w:pPr>
    <w:rPr>
      <w:rFonts w:ascii="Arial" w:hAnsi="Arial" w:cs="Arial"/>
      <w:color w:val="365f91"/>
      <w:sz w:val="28"/>
      <w:szCs w:val="28"/>
    </w:rPr>
  </w:style>
  <w:style w:type="paragraph" w:styleId="713">
    <w:name w:val="Heading 4"/>
    <w:basedOn w:val="709"/>
    <w:next w:val="709"/>
    <w:link w:val="725"/>
    <w:uiPriority w:val="99"/>
    <w:qFormat/>
    <w:pPr>
      <w:keepNext w:val="true"/>
      <w:keepLines w:val="true"/>
      <w:pBdr/>
      <w:spacing w:after="40" w:before="80"/>
      <w:ind/>
      <w:outlineLvl w:val="3"/>
    </w:pPr>
    <w:rPr>
      <w:rFonts w:ascii="Arial" w:hAnsi="Arial" w:cs="Arial"/>
      <w:i/>
      <w:iCs/>
      <w:color w:val="365f91"/>
    </w:rPr>
  </w:style>
  <w:style w:type="paragraph" w:styleId="714">
    <w:name w:val="Heading 5"/>
    <w:basedOn w:val="709"/>
    <w:next w:val="709"/>
    <w:link w:val="726"/>
    <w:uiPriority w:val="99"/>
    <w:qFormat/>
    <w:pPr>
      <w:keepNext w:val="true"/>
      <w:keepLines w:val="true"/>
      <w:pBdr/>
      <w:spacing w:after="40" w:before="80"/>
      <w:ind/>
      <w:outlineLvl w:val="4"/>
    </w:pPr>
    <w:rPr>
      <w:rFonts w:ascii="Arial" w:hAnsi="Arial" w:cs="Arial"/>
      <w:color w:val="365f91"/>
    </w:rPr>
  </w:style>
  <w:style w:type="paragraph" w:styleId="715">
    <w:name w:val="Heading 6"/>
    <w:basedOn w:val="709"/>
    <w:next w:val="709"/>
    <w:link w:val="727"/>
    <w:uiPriority w:val="99"/>
    <w:qFormat/>
    <w:pPr>
      <w:keepNext w:val="true"/>
      <w:keepLines w:val="true"/>
      <w:pBdr/>
      <w:spacing w:before="40"/>
      <w:ind/>
      <w:outlineLvl w:val="5"/>
    </w:pPr>
    <w:rPr>
      <w:rFonts w:ascii="Arial" w:hAnsi="Arial" w:cs="Arial"/>
      <w:i/>
      <w:iCs/>
      <w:color w:val="595959"/>
    </w:rPr>
  </w:style>
  <w:style w:type="paragraph" w:styleId="716">
    <w:name w:val="Heading 7"/>
    <w:basedOn w:val="709"/>
    <w:next w:val="709"/>
    <w:link w:val="728"/>
    <w:uiPriority w:val="99"/>
    <w:qFormat/>
    <w:pPr>
      <w:keepNext w:val="true"/>
      <w:keepLines w:val="true"/>
      <w:pBdr/>
      <w:spacing w:before="40"/>
      <w:ind/>
      <w:outlineLvl w:val="6"/>
    </w:pPr>
    <w:rPr>
      <w:rFonts w:ascii="Arial" w:hAnsi="Arial" w:cs="Arial"/>
      <w:color w:val="595959"/>
    </w:rPr>
  </w:style>
  <w:style w:type="paragraph" w:styleId="717">
    <w:name w:val="Heading 8"/>
    <w:basedOn w:val="709"/>
    <w:next w:val="709"/>
    <w:link w:val="729"/>
    <w:uiPriority w:val="99"/>
    <w:qFormat/>
    <w:pPr>
      <w:keepNext w:val="true"/>
      <w:keepLines w:val="true"/>
      <w:pBdr/>
      <w:spacing/>
      <w:ind/>
      <w:outlineLvl w:val="7"/>
    </w:pPr>
    <w:rPr>
      <w:rFonts w:ascii="Arial" w:hAnsi="Arial" w:cs="Arial"/>
      <w:i/>
      <w:iCs/>
      <w:color w:val="272727"/>
    </w:rPr>
  </w:style>
  <w:style w:type="paragraph" w:styleId="718">
    <w:name w:val="Heading 9"/>
    <w:basedOn w:val="709"/>
    <w:next w:val="709"/>
    <w:link w:val="730"/>
    <w:uiPriority w:val="99"/>
    <w:qFormat/>
    <w:pPr>
      <w:keepNext w:val="true"/>
      <w:keepLines w:val="true"/>
      <w:pBdr/>
      <w:spacing/>
      <w:ind/>
      <w:outlineLvl w:val="8"/>
    </w:pPr>
    <w:rPr>
      <w:rFonts w:ascii="Arial" w:hAnsi="Arial" w:cs="Arial"/>
      <w:i/>
      <w:iCs/>
      <w:color w:val="272727"/>
    </w:rPr>
  </w:style>
  <w:style w:type="character" w:styleId="719" w:default="1">
    <w:name w:val="Default Paragraph Font"/>
    <w:uiPriority w:val="1"/>
    <w:semiHidden/>
    <w:unhideWhenUsed/>
    <w:pPr>
      <w:pBdr/>
      <w:spacing/>
      <w:ind/>
    </w:pPr>
  </w:style>
  <w:style w:type="table" w:styleId="72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1" w:default="1">
    <w:name w:val="No List"/>
    <w:uiPriority w:val="99"/>
    <w:semiHidden/>
    <w:unhideWhenUsed/>
    <w:pPr>
      <w:pBdr/>
      <w:spacing/>
      <w:ind/>
    </w:pPr>
  </w:style>
  <w:style w:type="character" w:styleId="722" w:customStyle="1">
    <w:name w:val="Заголовок 1 Знак"/>
    <w:link w:val="710"/>
    <w:uiPriority w:val="99"/>
    <w:pPr>
      <w:pBdr/>
      <w:spacing/>
      <w:ind/>
    </w:pPr>
    <w:rPr>
      <w:rFonts w:ascii="Arial" w:hAnsi="Arial" w:cs="Arial"/>
      <w:color w:val="365f91"/>
      <w:sz w:val="40"/>
      <w:szCs w:val="40"/>
    </w:rPr>
  </w:style>
  <w:style w:type="character" w:styleId="723" w:customStyle="1">
    <w:name w:val="Заголовок 2 Знак"/>
    <w:link w:val="711"/>
    <w:uiPriority w:val="99"/>
    <w:pPr>
      <w:pBdr/>
      <w:spacing/>
      <w:ind/>
    </w:pPr>
    <w:rPr>
      <w:rFonts w:ascii="Arial" w:hAnsi="Arial" w:cs="Arial"/>
      <w:color w:val="365f91"/>
      <w:sz w:val="32"/>
      <w:szCs w:val="32"/>
    </w:rPr>
  </w:style>
  <w:style w:type="character" w:styleId="724" w:customStyle="1">
    <w:name w:val="Заголовок 3 Знак"/>
    <w:link w:val="712"/>
    <w:uiPriority w:val="99"/>
    <w:pPr>
      <w:pBdr/>
      <w:spacing/>
      <w:ind/>
    </w:pPr>
    <w:rPr>
      <w:rFonts w:ascii="Arial" w:hAnsi="Arial" w:cs="Arial"/>
      <w:color w:val="365f91"/>
      <w:sz w:val="28"/>
      <w:szCs w:val="28"/>
    </w:rPr>
  </w:style>
  <w:style w:type="character" w:styleId="725" w:customStyle="1">
    <w:name w:val="Заголовок 4 Знак"/>
    <w:link w:val="713"/>
    <w:uiPriority w:val="99"/>
    <w:pPr>
      <w:pBdr/>
      <w:spacing/>
      <w:ind/>
    </w:pPr>
    <w:rPr>
      <w:rFonts w:ascii="Arial" w:hAnsi="Arial" w:cs="Arial"/>
      <w:i/>
      <w:iCs/>
      <w:color w:val="365f91"/>
    </w:rPr>
  </w:style>
  <w:style w:type="character" w:styleId="726" w:customStyle="1">
    <w:name w:val="Заголовок 5 Знак"/>
    <w:link w:val="714"/>
    <w:uiPriority w:val="99"/>
    <w:pPr>
      <w:pBdr/>
      <w:spacing/>
      <w:ind/>
    </w:pPr>
    <w:rPr>
      <w:rFonts w:ascii="Arial" w:hAnsi="Arial" w:cs="Arial"/>
      <w:color w:val="365f91"/>
    </w:rPr>
  </w:style>
  <w:style w:type="character" w:styleId="727" w:customStyle="1">
    <w:name w:val="Заголовок 6 Знак"/>
    <w:link w:val="715"/>
    <w:uiPriority w:val="99"/>
    <w:pPr>
      <w:pBdr/>
      <w:spacing/>
      <w:ind/>
    </w:pPr>
    <w:rPr>
      <w:rFonts w:ascii="Arial" w:hAnsi="Arial" w:cs="Arial"/>
      <w:i/>
      <w:iCs/>
      <w:color w:val="595959"/>
    </w:rPr>
  </w:style>
  <w:style w:type="character" w:styleId="728" w:customStyle="1">
    <w:name w:val="Заголовок 7 Знак"/>
    <w:link w:val="716"/>
    <w:uiPriority w:val="99"/>
    <w:pPr>
      <w:pBdr/>
      <w:spacing/>
      <w:ind/>
    </w:pPr>
    <w:rPr>
      <w:rFonts w:ascii="Arial" w:hAnsi="Arial" w:cs="Arial"/>
      <w:color w:val="595959"/>
    </w:rPr>
  </w:style>
  <w:style w:type="character" w:styleId="729" w:customStyle="1">
    <w:name w:val="Заголовок 8 Знак"/>
    <w:link w:val="717"/>
    <w:uiPriority w:val="99"/>
    <w:pPr>
      <w:pBdr/>
      <w:spacing/>
      <w:ind/>
    </w:pPr>
    <w:rPr>
      <w:rFonts w:ascii="Arial" w:hAnsi="Arial" w:cs="Arial"/>
      <w:i/>
      <w:iCs/>
      <w:color w:val="272727"/>
    </w:rPr>
  </w:style>
  <w:style w:type="character" w:styleId="730" w:customStyle="1">
    <w:name w:val="Заголовок 9 Знак"/>
    <w:link w:val="718"/>
    <w:uiPriority w:val="99"/>
    <w:pPr>
      <w:pBdr/>
      <w:spacing/>
      <w:ind/>
    </w:pPr>
    <w:rPr>
      <w:rFonts w:ascii="Arial" w:hAnsi="Arial" w:cs="Arial"/>
      <w:i/>
      <w:iCs/>
      <w:color w:val="272727"/>
    </w:rPr>
  </w:style>
  <w:style w:type="table" w:styleId="731">
    <w:name w:val="Table Grid"/>
    <w:basedOn w:val="720"/>
    <w:uiPriority w:val="9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customStyle="1">
    <w:name w:val="Table Grid Light"/>
    <w:uiPriority w:val="99"/>
    <w:pPr>
      <w:pBdr/>
      <w:spacing/>
      <w:ind/>
    </w:pPr>
    <w:rPr>
      <w:lang w:val="ru-RU" w:eastAsia="ru-RU"/>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customStyle="1">
    <w:name w:val="Звичайна таблиця 11"/>
    <w:uiPriority w:val="99"/>
    <w:pPr>
      <w:pBdr/>
      <w:spacing/>
      <w:ind/>
    </w:pPr>
    <w:rPr>
      <w:lang w:val="ru-RU" w:eastAsia="ru-RU"/>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customStyle="1">
    <w:name w:val="Звичайна таблиця 21"/>
    <w:uiPriority w:val="99"/>
    <w:pPr>
      <w:pBdr/>
      <w:spacing/>
      <w:ind/>
    </w:pPr>
    <w:rPr>
      <w:lang w:val="ru-RU" w:eastAsia="ru-RU"/>
    </w:rPr>
    <w:tblPr>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customStyle="1">
    <w:name w:val="Звичайна таблиця 31"/>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customStyle="1">
    <w:name w:val="Звичайна таблиця 41"/>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customStyle="1">
    <w:name w:val="Звичайна таблиця 51"/>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customStyle="1">
    <w:name w:val="Таблиця-сітка 1 (світла)1"/>
    <w:uiPriority w:val="99"/>
    <w:pPr>
      <w:pBdr/>
      <w:spacing/>
      <w:ind/>
    </w:pPr>
    <w:rPr>
      <w:lang w:val="ru-RU" w:eastAsia="ru-RU"/>
    </w:rPr>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customStyle="1">
    <w:name w:val="Grid Table 1 Light - Accent 1"/>
    <w:uiPriority w:val="99"/>
    <w:pPr>
      <w:pBdr/>
      <w:spacing/>
      <w:ind/>
    </w:pPr>
    <w:rPr>
      <w:lang w:val="ru-RU" w:eastAsia="ru-RU"/>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customStyle="1">
    <w:name w:val="Grid Table 1 Light - Accent 2"/>
    <w:uiPriority w:val="99"/>
    <w:pPr>
      <w:pBdr/>
      <w:spacing/>
      <w:ind/>
    </w:pPr>
    <w:rPr>
      <w:lang w:val="ru-RU" w:eastAsia="ru-RU"/>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customStyle="1">
    <w:name w:val="Grid Table 1 Light - Accent 3"/>
    <w:uiPriority w:val="99"/>
    <w:pPr>
      <w:pBdr/>
      <w:spacing/>
      <w:ind/>
    </w:pPr>
    <w:rPr>
      <w:lang w:val="ru-RU" w:eastAsia="ru-RU"/>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customStyle="1">
    <w:name w:val="Grid Table 1 Light - Accent 4"/>
    <w:uiPriority w:val="99"/>
    <w:pPr>
      <w:pBdr/>
      <w:spacing/>
      <w:ind/>
    </w:pPr>
    <w:rPr>
      <w:lang w:val="ru-RU" w:eastAsia="ru-RU"/>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customStyle="1">
    <w:name w:val="Grid Table 1 Light - Accent 5"/>
    <w:uiPriority w:val="99"/>
    <w:pPr>
      <w:pBdr/>
      <w:spacing/>
      <w:ind/>
    </w:pPr>
    <w:rPr>
      <w:lang w:val="ru-RU" w:eastAsia="ru-RU"/>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customStyle="1">
    <w:name w:val="Grid Table 1 Light - Accent 6"/>
    <w:uiPriority w:val="99"/>
    <w:pPr>
      <w:pBdr/>
      <w:spacing/>
      <w:ind/>
    </w:pPr>
    <w:rPr>
      <w:lang w:val="ru-RU" w:eastAsia="ru-RU"/>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customStyle="1">
    <w:name w:val="Таблиця-сітка 21"/>
    <w:uiPriority w:val="99"/>
    <w:pPr>
      <w:pBdr/>
      <w:spacing/>
      <w:ind/>
    </w:pPr>
    <w:rPr>
      <w:lang w:val="ru-RU" w:eastAsia="ru-RU"/>
    </w:rPr>
    <w:tblPr>
      <w:tblStyleRowBandSize w:val="1"/>
      <w:tblStyleColBandSize w:val="1"/>
      <w:tblBorders>
        <w:bottom w:val="single" w:color="6a6a6a" w:sz="4" w:space="0"/>
        <w:insideH w:val="single" w:color="6a6a6a" w:sz="4" w:space="0"/>
        <w:insideV w:val="single" w:color="6a6a6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customStyle="1">
    <w:name w:val="Grid Table 2 - Accent 1"/>
    <w:uiPriority w:val="99"/>
    <w:pPr>
      <w:pBdr/>
      <w:spacing/>
      <w:ind/>
    </w:pPr>
    <w:rPr>
      <w:lang w:val="ru-RU" w:eastAsia="ru-RU"/>
    </w:rPr>
    <w:tblPr>
      <w:tblStyleRowBandSize w:val="1"/>
      <w:tblStyleColBandSize w:val="1"/>
      <w:tblBorders>
        <w:bottom w:val="single" w:color="5d8ac2" w:sz="4" w:space="0"/>
        <w:insideH w:val="single" w:color="5d8ac2" w:sz="4" w:space="0"/>
        <w:insideV w:val="single" w:color="5d8ac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2 - Accent 2"/>
    <w:uiPriority w:val="99"/>
    <w:pPr>
      <w:pBdr/>
      <w:spacing/>
      <w:ind/>
    </w:pPr>
    <w:rPr>
      <w:lang w:val="ru-RU" w:eastAsia="ru-RU"/>
    </w:rPr>
    <w:tblPr>
      <w:tblStyleRowBandSize w:val="1"/>
      <w:tblStyleColBandSize w:val="1"/>
      <w:tblBorders>
        <w:bottom w:val="single" w:color="d99695" w:sz="4" w:space="0"/>
        <w:insideH w:val="single" w:color="d99695" w:sz="4" w:space="0"/>
        <w:insideV w:val="single" w:color="d9969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customStyle="1">
    <w:name w:val="Grid Table 2 - Accent 3"/>
    <w:uiPriority w:val="99"/>
    <w:pPr>
      <w:pBdr/>
      <w:spacing/>
      <w:ind/>
    </w:pPr>
    <w:rPr>
      <w:lang w:val="ru-RU" w:eastAsia="ru-RU"/>
    </w:rPr>
    <w:tblPr>
      <w:tblStyleRowBandSize w:val="1"/>
      <w:tblStyleColBandSize w:val="1"/>
      <w:tblBorders>
        <w:bottom w:val="single" w:color="9abb59" w:sz="4" w:space="0"/>
        <w:insideH w:val="single" w:color="9abb59" w:sz="4" w:space="0"/>
        <w:insideV w:val="single" w:color="9abb5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customStyle="1">
    <w:name w:val="Grid Table 2 - Accent 4"/>
    <w:uiPriority w:val="99"/>
    <w:pPr>
      <w:pBdr/>
      <w:spacing/>
      <w:ind/>
    </w:pPr>
    <w:rPr>
      <w:lang w:val="ru-RU" w:eastAsia="ru-RU"/>
    </w:rPr>
    <w:tblPr>
      <w:tblStyleRowBandSize w:val="1"/>
      <w:tblStyleColBandSize w:val="1"/>
      <w:tblBorders>
        <w:bottom w:val="single" w:color="b2a1c6" w:sz="4" w:space="0"/>
        <w:insideH w:val="single" w:color="b2a1c6" w:sz="4" w:space="0"/>
        <w:insideV w:val="single" w:color="b2a1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2 - Accent 5"/>
    <w:uiPriority w:val="99"/>
    <w:pPr>
      <w:pBdr/>
      <w:spacing/>
      <w:ind/>
    </w:pPr>
    <w:rPr>
      <w:lang w:val="ru-RU" w:eastAsia="ru-RU"/>
    </w:rPr>
    <w:tblPr>
      <w:tblStyleRowBandSize w:val="1"/>
      <w:tblStyleColBandSize w:val="1"/>
      <w:tblBorders>
        <w:bottom w:val="single" w:color="4bacc6" w:sz="4" w:space="0"/>
        <w:insideH w:val="single" w:color="4bacc6" w:sz="4" w:space="0"/>
        <w:insideV w:val="single" w:color="4bac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2 - Accent 6"/>
    <w:uiPriority w:val="99"/>
    <w:pPr>
      <w:pBdr/>
      <w:spacing/>
      <w:ind/>
    </w:pPr>
    <w:rPr>
      <w:lang w:val="ru-RU" w:eastAsia="ru-RU"/>
    </w:rPr>
    <w:tblPr>
      <w:tblStyleRowBandSize w:val="1"/>
      <w:tblStyleColBandSize w:val="1"/>
      <w:tblBorders>
        <w:bottom w:val="single" w:color="f79646" w:sz="4" w:space="0"/>
        <w:insideH w:val="single" w:color="f79646" w:sz="4" w:space="0"/>
        <w:insideV w:val="single" w:color="f7964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customStyle="1">
    <w:name w:val="Таблиця-сітка 31"/>
    <w:uiPriority w:val="99"/>
    <w:pPr>
      <w:pBdr/>
      <w:spacing/>
      <w:ind/>
    </w:pPr>
    <w:rPr>
      <w:lang w:val="ru-RU" w:eastAsia="ru-RU"/>
    </w:rPr>
    <w:tblPr>
      <w:tblStyleRowBandSize w:val="1"/>
      <w:tblStyleColBandSize w:val="1"/>
      <w:tblBorders>
        <w:bottom w:val="single" w:color="6a6a6a" w:sz="4" w:space="0"/>
        <w:insideH w:val="single" w:color="6a6a6a" w:sz="4" w:space="0"/>
        <w:insideV w:val="single" w:color="6a6a6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customStyle="1">
    <w:name w:val="Grid Table 3 - Accent 1"/>
    <w:uiPriority w:val="99"/>
    <w:pPr>
      <w:pBdr/>
      <w:spacing/>
      <w:ind/>
    </w:pPr>
    <w:rPr>
      <w:lang w:val="ru-RU" w:eastAsia="ru-RU"/>
    </w:rPr>
    <w:tblPr>
      <w:tblStyleRowBandSize w:val="1"/>
      <w:tblStyleColBandSize w:val="1"/>
      <w:tblBorders>
        <w:bottom w:val="single" w:color="5d8ac2" w:sz="4" w:space="0"/>
        <w:insideH w:val="single" w:color="5d8ac2" w:sz="4" w:space="0"/>
        <w:insideV w:val="single" w:color="5d8ac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3 - Accent 2"/>
    <w:uiPriority w:val="99"/>
    <w:pPr>
      <w:pBdr/>
      <w:spacing/>
      <w:ind/>
    </w:pPr>
    <w:rPr>
      <w:lang w:val="ru-RU" w:eastAsia="ru-RU"/>
    </w:rPr>
    <w:tblPr>
      <w:tblStyleRowBandSize w:val="1"/>
      <w:tblStyleColBandSize w:val="1"/>
      <w:tblBorders>
        <w:bottom w:val="single" w:color="d99695" w:sz="4" w:space="0"/>
        <w:insideH w:val="single" w:color="d99695" w:sz="4" w:space="0"/>
        <w:insideV w:val="single" w:color="d9969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customStyle="1">
    <w:name w:val="Grid Table 3 - Accent 3"/>
    <w:uiPriority w:val="99"/>
    <w:pPr>
      <w:pBdr/>
      <w:spacing/>
      <w:ind/>
    </w:pPr>
    <w:rPr>
      <w:lang w:val="ru-RU" w:eastAsia="ru-RU"/>
    </w:rPr>
    <w:tblPr>
      <w:tblStyleRowBandSize w:val="1"/>
      <w:tblStyleColBandSize w:val="1"/>
      <w:tblBorders>
        <w:bottom w:val="single" w:color="9abb59" w:sz="4" w:space="0"/>
        <w:insideH w:val="single" w:color="9abb59" w:sz="4" w:space="0"/>
        <w:insideV w:val="single" w:color="9abb5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customStyle="1">
    <w:name w:val="Grid Table 3 - Accent 4"/>
    <w:uiPriority w:val="99"/>
    <w:pPr>
      <w:pBdr/>
      <w:spacing/>
      <w:ind/>
    </w:pPr>
    <w:rPr>
      <w:lang w:val="ru-RU" w:eastAsia="ru-RU"/>
    </w:rPr>
    <w:tblPr>
      <w:tblStyleRowBandSize w:val="1"/>
      <w:tblStyleColBandSize w:val="1"/>
      <w:tblBorders>
        <w:bottom w:val="single" w:color="b2a1c6" w:sz="4" w:space="0"/>
        <w:insideH w:val="single" w:color="b2a1c6" w:sz="4" w:space="0"/>
        <w:insideV w:val="single" w:color="b2a1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3 - Accent 5"/>
    <w:uiPriority w:val="99"/>
    <w:pPr>
      <w:pBdr/>
      <w:spacing/>
      <w:ind/>
    </w:pPr>
    <w:rPr>
      <w:lang w:val="ru-RU" w:eastAsia="ru-RU"/>
    </w:rPr>
    <w:tblPr>
      <w:tblStyleRowBandSize w:val="1"/>
      <w:tblStyleColBandSize w:val="1"/>
      <w:tblBorders>
        <w:bottom w:val="single" w:color="4bacc6" w:sz="4" w:space="0"/>
        <w:insideH w:val="single" w:color="4bacc6" w:sz="4" w:space="0"/>
        <w:insideV w:val="single" w:color="4bac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Grid Table 3 - Accent 6"/>
    <w:uiPriority w:val="99"/>
    <w:pPr>
      <w:pBdr/>
      <w:spacing/>
      <w:ind/>
    </w:pPr>
    <w:rPr>
      <w:lang w:val="ru-RU" w:eastAsia="ru-RU"/>
    </w:rPr>
    <w:tblPr>
      <w:tblStyleRowBandSize w:val="1"/>
      <w:tblStyleColBandSize w:val="1"/>
      <w:tblBorders>
        <w:bottom w:val="single" w:color="f79646" w:sz="4" w:space="0"/>
        <w:insideH w:val="single" w:color="f79646" w:sz="4" w:space="0"/>
        <w:insideV w:val="single" w:color="f7964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Таблиця-сітка 41"/>
    <w:uiPriority w:val="99"/>
    <w:pPr>
      <w:pBdr/>
      <w:spacing/>
      <w:ind/>
    </w:pPr>
    <w:rPr>
      <w:lang w:val="ru-RU" w:eastAsia="ru-RU"/>
    </w:rPr>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customStyle="1">
    <w:name w:val="Grid Table 4 - Accent 1"/>
    <w:uiPriority w:val="99"/>
    <w:pPr>
      <w:pBdr/>
      <w:spacing/>
      <w:ind/>
    </w:pPr>
    <w:rPr>
      <w:lang w:val="ru-RU" w:eastAsia="ru-RU"/>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Grid Table 4 - Accent 2"/>
    <w:uiPriority w:val="99"/>
    <w:pPr>
      <w:pBdr/>
      <w:spacing/>
      <w:ind/>
    </w:pPr>
    <w:rPr>
      <w:lang w:val="ru-RU" w:eastAsia="ru-RU"/>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customStyle="1">
    <w:name w:val="Grid Table 4 - Accent 3"/>
    <w:uiPriority w:val="99"/>
    <w:pPr>
      <w:pBdr/>
      <w:spacing/>
      <w:ind/>
    </w:pPr>
    <w:rPr>
      <w:lang w:val="ru-RU" w:eastAsia="ru-RU"/>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Grid Table 4 - Accent 4"/>
    <w:uiPriority w:val="99"/>
    <w:pPr>
      <w:pBdr/>
      <w:spacing/>
      <w:ind/>
    </w:pPr>
    <w:rPr>
      <w:lang w:val="ru-RU" w:eastAsia="ru-RU"/>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Grid Table 4 - Accent 5"/>
    <w:uiPriority w:val="99"/>
    <w:pPr>
      <w:pBdr/>
      <w:spacing/>
      <w:ind/>
    </w:pPr>
    <w:rPr>
      <w:lang w:val="ru-RU" w:eastAsia="ru-RU"/>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Grid Table 4 - Accent 6"/>
    <w:uiPriority w:val="99"/>
    <w:pPr>
      <w:pBdr/>
      <w:spacing/>
      <w:ind/>
    </w:pPr>
    <w:rPr>
      <w:lang w:val="ru-RU" w:eastAsia="ru-RU"/>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Таблиця-сітка 5 (темна)1"/>
    <w:uiPriority w:val="99"/>
    <w:pPr>
      <w:pBdr/>
      <w:spacing/>
      <w:ind/>
    </w:pPr>
    <w:rPr>
      <w:lang w:val="ru-RU" w:eastAsia="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5 Dark- Accent 1"/>
    <w:uiPriority w:val="99"/>
    <w:pPr>
      <w:pBdr/>
      <w:spacing/>
      <w:ind/>
    </w:pPr>
    <w:rPr>
      <w:lang w:val="ru-RU" w:eastAsia="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5 Dark - Accent 2"/>
    <w:uiPriority w:val="99"/>
    <w:pPr>
      <w:pBdr/>
      <w:spacing/>
      <w:ind/>
    </w:pPr>
    <w:rPr>
      <w:lang w:val="ru-RU" w:eastAsia="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5 Dark - Accent 3"/>
    <w:uiPriority w:val="99"/>
    <w:pPr>
      <w:pBdr/>
      <w:spacing/>
      <w:ind/>
    </w:pPr>
    <w:rPr>
      <w:lang w:val="ru-RU" w:eastAsia="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5 Dark- Accent 4"/>
    <w:uiPriority w:val="99"/>
    <w:pPr>
      <w:pBdr/>
      <w:spacing/>
      <w:ind/>
    </w:pPr>
    <w:rPr>
      <w:lang w:val="ru-RU" w:eastAsia="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5 Dark - Accent 5"/>
    <w:uiPriority w:val="99"/>
    <w:pPr>
      <w:pBdr/>
      <w:spacing/>
      <w:ind/>
    </w:pPr>
    <w:rPr>
      <w:lang w:val="ru-RU" w:eastAsia="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5 Dark - Accent 6"/>
    <w:uiPriority w:val="99"/>
    <w:pPr>
      <w:pBdr/>
      <w:spacing/>
      <w:ind/>
    </w:pPr>
    <w:rPr>
      <w:lang w:val="ru-RU" w:eastAsia="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Таблиця-сітка 6 (кольорова)1"/>
    <w:uiPriority w:val="99"/>
    <w:pPr>
      <w:pBdr/>
      <w:spacing/>
      <w:ind/>
    </w:pPr>
    <w:rPr>
      <w:lang w:val="ru-RU" w:eastAsia="ru-RU"/>
    </w:rPr>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6 Colorful - Accent 1"/>
    <w:uiPriority w:val="99"/>
    <w:pPr>
      <w:pBdr/>
      <w:spacing/>
      <w:ind/>
    </w:pPr>
    <w:rPr>
      <w:lang w:val="ru-RU" w:eastAsia="ru-RU"/>
    </w:rPr>
    <w:tblPr>
      <w:tblStyleRowBandSize w:val="1"/>
      <w:tblStyleColBandSize w:val="1"/>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6 Colorful - Accent 2"/>
    <w:uiPriority w:val="99"/>
    <w:pPr>
      <w:pBdr/>
      <w:spacing/>
      <w:ind/>
    </w:pPr>
    <w:rPr>
      <w:lang w:val="ru-RU" w:eastAsia="ru-RU"/>
    </w:rPr>
    <w:tblPr>
      <w:tblStyleRowBandSize w:val="1"/>
      <w:tblStyleColBandSize w:val="1"/>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6 Colorful - Accent 3"/>
    <w:uiPriority w:val="99"/>
    <w:pPr>
      <w:pBdr/>
      <w:spacing/>
      <w:ind/>
    </w:pPr>
    <w:rPr>
      <w:lang w:val="ru-RU" w:eastAsia="ru-RU"/>
    </w:rPr>
    <w:tblPr>
      <w:tblStyleRowBandSize w:val="1"/>
      <w:tblStyleColBandSize w:val="1"/>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6 Colorful - Accent 4"/>
    <w:uiPriority w:val="99"/>
    <w:pPr>
      <w:pBdr/>
      <w:spacing/>
      <w:ind/>
    </w:pPr>
    <w:rPr>
      <w:lang w:val="ru-RU" w:eastAsia="ru-RU"/>
    </w:rPr>
    <w:tblPr>
      <w:tblStyleRowBandSize w:val="1"/>
      <w:tblStyleColBandSize w:val="1"/>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6 Colorful - Accent 5"/>
    <w:uiPriority w:val="99"/>
    <w:pPr>
      <w:pBdr/>
      <w:spacing/>
      <w:ind/>
    </w:pPr>
    <w:rPr>
      <w:lang w:val="ru-RU" w:eastAsia="ru-RU"/>
    </w:rPr>
    <w:tblPr>
      <w:tblStyleRowBandSize w:val="1"/>
      <w:tblStyleColBandSize w:val="1"/>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6 Colorful - Accent 6"/>
    <w:uiPriority w:val="99"/>
    <w:pPr>
      <w:pBdr/>
      <w:spacing/>
      <w:ind/>
    </w:pPr>
    <w:rPr>
      <w:lang w:val="ru-RU" w:eastAsia="ru-RU"/>
    </w:rPr>
    <w:tblPr>
      <w:tblStyleRowBandSize w:val="1"/>
      <w:tblStyleColBandSize w:val="1"/>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Таблиця-сітка 7 (кольорова)1"/>
    <w:uiPriority w:val="99"/>
    <w:pPr>
      <w:pBdr/>
      <w:spacing/>
      <w:ind/>
    </w:pPr>
    <w:rPr>
      <w:lang w:val="ru-RU" w:eastAsia="ru-RU"/>
    </w:rPr>
    <w:tblPr>
      <w:tblStyleRowBandSize w:val="1"/>
      <w:tblStyleColBandSize w:val="1"/>
      <w:tblBorders>
        <w:bottom w:val="single" w:color="7f7f7f" w:sz="4" w:space="0"/>
        <w:right w:val="single" w:color="7f7f7f" w:sz="4" w:space="0"/>
        <w:insideH w:val="single" w:color="7f7f7f" w:sz="4" w:space="0"/>
        <w:insideV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7 Colorful - Accent 1"/>
    <w:uiPriority w:val="99"/>
    <w:pPr>
      <w:pBdr/>
      <w:spacing/>
      <w:ind/>
    </w:pPr>
    <w:rPr>
      <w:lang w:val="ru-RU" w:eastAsia="ru-RU"/>
    </w:rPr>
    <w:tblPr>
      <w:tblStyleRowBandSize w:val="1"/>
      <w:tblStyleColBandSize w:val="1"/>
      <w:tblBorders>
        <w:bottom w:val="single" w:color="a6bfdd" w:sz="4" w:space="0"/>
        <w:right w:val="single" w:color="a6bfdd" w:sz="4" w:space="0"/>
        <w:insideH w:val="single" w:color="a6bfdd" w:sz="4" w:space="0"/>
        <w:insideV w:val="single" w:color="a6bfd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7 Colorful - Accent 2"/>
    <w:uiPriority w:val="99"/>
    <w:pPr>
      <w:pBdr/>
      <w:spacing/>
      <w:ind/>
    </w:pPr>
    <w:rPr>
      <w:lang w:val="ru-RU" w:eastAsia="ru-RU"/>
    </w:rPr>
    <w:tblPr>
      <w:tblStyleRowBandSize w:val="1"/>
      <w:tblStyleColBandSize w:val="1"/>
      <w:tblBorders>
        <w:bottom w:val="single" w:color="d99695" w:sz="4" w:space="0"/>
        <w:right w:val="single" w:color="d99695" w:sz="4" w:space="0"/>
        <w:insideH w:val="single" w:color="d99695" w:sz="4" w:space="0"/>
        <w:insideV w:val="single" w:color="d9969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7 Colorful - Accent 3"/>
    <w:uiPriority w:val="99"/>
    <w:pPr>
      <w:pBdr/>
      <w:spacing/>
      <w:ind/>
    </w:pPr>
    <w:rPr>
      <w:lang w:val="ru-RU" w:eastAsia="ru-RU"/>
    </w:rPr>
    <w:tblPr>
      <w:tblStyleRowBandSize w:val="1"/>
      <w:tblStyleColBandSize w:val="1"/>
      <w:tblBorders>
        <w:bottom w:val="single" w:color="9abb59" w:sz="4" w:space="0"/>
        <w:right w:val="single" w:color="9abb59" w:sz="4" w:space="0"/>
        <w:insideH w:val="single" w:color="9abb59" w:sz="4" w:space="0"/>
        <w:insideV w:val="single" w:color="9abb5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7 Colorful - Accent 4"/>
    <w:uiPriority w:val="99"/>
    <w:pPr>
      <w:pBdr/>
      <w:spacing/>
      <w:ind/>
    </w:pPr>
    <w:rPr>
      <w:lang w:val="ru-RU" w:eastAsia="ru-RU"/>
    </w:rPr>
    <w:tblPr>
      <w:tblStyleRowBandSize w:val="1"/>
      <w:tblStyleColBandSize w:val="1"/>
      <w:tblBorders>
        <w:bottom w:val="single" w:color="b2a1c6" w:sz="4" w:space="0"/>
        <w:right w:val="single" w:color="b2a1c6" w:sz="4" w:space="0"/>
        <w:insideH w:val="single" w:color="b2a1c6" w:sz="4" w:space="0"/>
        <w:insideV w:val="single" w:color="b2a1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7 Colorful - Accent 5"/>
    <w:uiPriority w:val="99"/>
    <w:pPr>
      <w:pBdr/>
      <w:spacing/>
      <w:ind/>
    </w:pPr>
    <w:rPr>
      <w:lang w:val="ru-RU" w:eastAsia="ru-RU"/>
    </w:rPr>
    <w:tblPr>
      <w:tblStyleRowBandSize w:val="1"/>
      <w:tblStyleColBandSize w:val="1"/>
      <w:tblBorders>
        <w:bottom w:val="single" w:color="99d0de" w:sz="4" w:space="0"/>
        <w:right w:val="single" w:color="99d0de" w:sz="4" w:space="0"/>
        <w:insideH w:val="single" w:color="99d0de" w:sz="4" w:space="0"/>
        <w:insideV w:val="single" w:color="99d0de"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7 Colorful - Accent 6"/>
    <w:uiPriority w:val="99"/>
    <w:pPr>
      <w:pBdr/>
      <w:spacing/>
      <w:ind/>
    </w:pPr>
    <w:rPr>
      <w:lang w:val="ru-RU" w:eastAsia="ru-RU"/>
    </w:rPr>
    <w:tblPr>
      <w:tblStyleRowBandSize w:val="1"/>
      <w:tblStyleColBandSize w:val="1"/>
      <w:tblBorders>
        <w:bottom w:val="single" w:color="fac396" w:sz="4" w:space="0"/>
        <w:right w:val="single" w:color="fac396" w:sz="4" w:space="0"/>
        <w:insideH w:val="single" w:color="fac396" w:sz="4" w:space="0"/>
        <w:insideV w:val="single" w:color="fac39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Таблиця-список 1 (світлий)1"/>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List Table 1 Light - Accent 1"/>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List Table 1 Light - Accent 2"/>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List Table 1 Light - Accent 3"/>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List Table 1 Light - Accent 4"/>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List Table 1 Light - Accent 5"/>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List Table 1 Light - Accent 6"/>
    <w:uiPriority w:val="99"/>
    <w:pPr>
      <w:pBdr/>
      <w:spacing/>
      <w:ind/>
    </w:pPr>
    <w:rPr>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Таблиця-список 21"/>
    <w:uiPriority w:val="99"/>
    <w:pPr>
      <w:pBdr/>
      <w:spacing/>
      <w:ind/>
    </w:pPr>
    <w:rPr>
      <w:lang w:val="ru-RU" w:eastAsia="ru-RU"/>
    </w:rPr>
    <w:tblPr>
      <w:tblStyleRowBandSize w:val="1"/>
      <w:tblStyleColBandSize w:val="1"/>
      <w:tblBorders>
        <w:top w:val="single" w:color="6f6f6f" w:sz="4" w:space="0"/>
        <w:bottom w:val="single" w:color="6f6f6f" w:sz="4" w:space="0"/>
        <w:insideH w:val="single" w:color="6f6f6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List Table 2 - Accent 1"/>
    <w:uiPriority w:val="99"/>
    <w:pPr>
      <w:pBdr/>
      <w:spacing/>
      <w:ind/>
    </w:pPr>
    <w:rPr>
      <w:lang w:val="ru-RU" w:eastAsia="ru-RU"/>
    </w:rPr>
    <w:tblPr>
      <w:tblStyleRowBandSize w:val="1"/>
      <w:tblStyleColBandSize w:val="1"/>
      <w:tblBorders>
        <w:top w:val="single" w:color="9bb7d9" w:sz="4" w:space="0"/>
        <w:bottom w:val="single" w:color="9bb7d9" w:sz="4" w:space="0"/>
        <w:insideH w:val="single" w:color="9bb7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2 - Accent 2"/>
    <w:uiPriority w:val="99"/>
    <w:pPr>
      <w:pBdr/>
      <w:spacing/>
      <w:ind/>
    </w:pPr>
    <w:rPr>
      <w:lang w:val="ru-RU" w:eastAsia="ru-RU"/>
    </w:rPr>
    <w:tblPr>
      <w:tblStyleRowBandSize w:val="1"/>
      <w:tblStyleColBandSize w:val="1"/>
      <w:tblBorders>
        <w:top w:val="single" w:color="db9b9a" w:sz="4" w:space="0"/>
        <w:bottom w:val="single" w:color="db9b9a" w:sz="4" w:space="0"/>
        <w:insideH w:val="single" w:color="db9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List Table 2 - Accent 3"/>
    <w:uiPriority w:val="99"/>
    <w:pPr>
      <w:pBdr/>
      <w:spacing/>
      <w:ind/>
    </w:pPr>
    <w:rPr>
      <w:lang w:val="ru-RU" w:eastAsia="ru-RU"/>
    </w:rPr>
    <w:tblPr>
      <w:tblStyleRowBandSize w:val="1"/>
      <w:tblStyleColBandSize w:val="1"/>
      <w:tblBorders>
        <w:top w:val="single" w:color="c6d8a1" w:sz="4" w:space="0"/>
        <w:bottom w:val="single" w:color="c6d8a1" w:sz="4" w:space="0"/>
        <w:insideH w:val="single" w:color="c6d8a1"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List Table 2 - Accent 4"/>
    <w:uiPriority w:val="99"/>
    <w:pPr>
      <w:pBdr/>
      <w:spacing/>
      <w:ind/>
    </w:pPr>
    <w:rPr>
      <w:lang w:val="ru-RU" w:eastAsia="ru-RU"/>
    </w:rPr>
    <w:tblPr>
      <w:tblStyleRowBandSize w:val="1"/>
      <w:tblStyleColBandSize w:val="1"/>
      <w:tblBorders>
        <w:top w:val="single" w:color="b7a7ca" w:sz="4" w:space="0"/>
        <w:bottom w:val="single" w:color="b7a7ca" w:sz="4" w:space="0"/>
        <w:insideH w:val="single" w:color="b7a7c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2 - Accent 5"/>
    <w:uiPriority w:val="99"/>
    <w:pPr>
      <w:pBdr/>
      <w:spacing/>
      <w:ind/>
    </w:pPr>
    <w:rPr>
      <w:lang w:val="ru-RU" w:eastAsia="ru-RU"/>
    </w:rPr>
    <w:tblPr>
      <w:tblStyleRowBandSize w:val="1"/>
      <w:tblStyleColBandSize w:val="1"/>
      <w:tblBorders>
        <w:top w:val="single" w:color="99d0de" w:sz="4" w:space="0"/>
        <w:bottom w:val="single" w:color="99d0de" w:sz="4" w:space="0"/>
        <w:insideH w:val="single" w:color="99d0de"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2 - Accent 6"/>
    <w:uiPriority w:val="99"/>
    <w:pPr>
      <w:pBdr/>
      <w:spacing/>
      <w:ind/>
    </w:pPr>
    <w:rPr>
      <w:lang w:val="ru-RU" w:eastAsia="ru-RU"/>
    </w:rPr>
    <w:tblPr>
      <w:tblStyleRowBandSize w:val="1"/>
      <w:tblStyleColBandSize w:val="1"/>
      <w:tblBorders>
        <w:top w:val="single" w:color="fac396" w:sz="4" w:space="0"/>
        <w:bottom w:val="single" w:color="fac396" w:sz="4" w:space="0"/>
        <w:insideH w:val="single" w:color="fac39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Таблиця-список 31"/>
    <w:uiPriority w:val="99"/>
    <w:pPr>
      <w:pBdr/>
      <w:spacing/>
      <w:ind/>
    </w:pPr>
    <w:rPr>
      <w:lang w:val="ru-RU" w:eastAsia="ru-RU"/>
    </w:rPr>
    <w:tblPr>
      <w:tblStyleRowBandSize w:val="1"/>
      <w:tblStyleColBandSize w:val="1"/>
      <w:tblBorders>
        <w:top w:val="single" w:color="000000" w:sz="4" w:space="0"/>
        <w:left w:val="single" w:color="000000" w:sz="4" w:space="0"/>
        <w:bottom w:val="single" w:color="000000" w:sz="4" w:space="0"/>
        <w:right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List Table 3 - Accent 1"/>
    <w:uiPriority w:val="99"/>
    <w:pPr>
      <w:pBdr/>
      <w:spacing/>
      <w:ind/>
    </w:pPr>
    <w:rPr>
      <w:lang w:val="ru-RU" w:eastAsia="ru-RU"/>
    </w:rPr>
    <w:tblPr>
      <w:tblStyleRowBandSize w:val="1"/>
      <w:tblStyleColBandSize w:val="1"/>
      <w:tblBorders>
        <w:top w:val="single" w:color="4f81bd" w:sz="4" w:space="0"/>
        <w:left w:val="single" w:color="4f81bd" w:sz="4" w:space="0"/>
        <w:bottom w:val="single" w:color="4f81bd" w:sz="4" w:space="0"/>
        <w:right w:val="single" w:color="4f81b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3 - Accent 2"/>
    <w:uiPriority w:val="99"/>
    <w:pPr>
      <w:pBdr/>
      <w:spacing/>
      <w:ind/>
    </w:pPr>
    <w:rPr>
      <w:lang w:val="ru-RU" w:eastAsia="ru-RU"/>
    </w:rPr>
    <w:tblPr>
      <w:tblStyleRowBandSize w:val="1"/>
      <w:tblStyleColBandSize w:val="1"/>
      <w:tblBorders>
        <w:top w:val="single" w:color="d99695" w:sz="4" w:space="0"/>
        <w:left w:val="single" w:color="d99695" w:sz="4" w:space="0"/>
        <w:bottom w:val="single" w:color="d99695" w:sz="4" w:space="0"/>
        <w:right w:val="single" w:color="d9969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List Table 3 - Accent 3"/>
    <w:uiPriority w:val="99"/>
    <w:pPr>
      <w:pBdr/>
      <w:spacing/>
      <w:ind/>
    </w:pPr>
    <w:rPr>
      <w:lang w:val="ru-RU" w:eastAsia="ru-RU"/>
    </w:rPr>
    <w:tblPr>
      <w:tblStyleRowBandSize w:val="1"/>
      <w:tblStyleColBandSize w:val="1"/>
      <w:tblBorders>
        <w:top w:val="single" w:color="c3d69b" w:sz="4" w:space="0"/>
        <w:left w:val="single" w:color="c3d69b" w:sz="4" w:space="0"/>
        <w:bottom w:val="single" w:color="c3d69b" w:sz="4" w:space="0"/>
        <w:right w:val="single" w:color="c3d69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List Table 3 - Accent 4"/>
    <w:uiPriority w:val="99"/>
    <w:pPr>
      <w:pBdr/>
      <w:spacing/>
      <w:ind/>
    </w:pPr>
    <w:rPr>
      <w:lang w:val="ru-RU" w:eastAsia="ru-RU"/>
    </w:rPr>
    <w:tblPr>
      <w:tblStyleRowBandSize w:val="1"/>
      <w:tblStyleColBandSize w:val="1"/>
      <w:tblBorders>
        <w:top w:val="single" w:color="b2a1c6" w:sz="4" w:space="0"/>
        <w:left w:val="single" w:color="b2a1c6" w:sz="4" w:space="0"/>
        <w:bottom w:val="single" w:color="b2a1c6" w:sz="4" w:space="0"/>
        <w:right w:val="single" w:color="b2a1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3 - Accent 5"/>
    <w:uiPriority w:val="99"/>
    <w:pPr>
      <w:pBdr/>
      <w:spacing/>
      <w:ind/>
    </w:pPr>
    <w:rPr>
      <w:lang w:val="ru-RU" w:eastAsia="ru-RU"/>
    </w:rPr>
    <w:tblPr>
      <w:tblStyleRowBandSize w:val="1"/>
      <w:tblStyleColBandSize w:val="1"/>
      <w:tblBorders>
        <w:top w:val="single" w:color="92ccdc" w:sz="4" w:space="0"/>
        <w:left w:val="single" w:color="92ccdc" w:sz="4" w:space="0"/>
        <w:bottom w:val="single" w:color="92ccdc" w:sz="4" w:space="0"/>
        <w:right w:val="single" w:color="92ccdc"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st Table 3 - Accent 6"/>
    <w:uiPriority w:val="99"/>
    <w:pPr>
      <w:pBdr/>
      <w:spacing/>
      <w:ind/>
    </w:pPr>
    <w:rPr>
      <w:lang w:val="ru-RU" w:eastAsia="ru-RU"/>
    </w:rPr>
    <w:tblPr>
      <w:tblStyleRowBandSize w:val="1"/>
      <w:tblStyleColBandSize w:val="1"/>
      <w:tblBorders>
        <w:top w:val="single" w:color="fac090" w:sz="4" w:space="0"/>
        <w:left w:val="single" w:color="fac090" w:sz="4" w:space="0"/>
        <w:bottom w:val="single" w:color="fac090" w:sz="4" w:space="0"/>
        <w:right w:val="single" w:color="fac09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Таблиця-список 41"/>
    <w:uiPriority w:val="99"/>
    <w:pPr>
      <w:pBdr/>
      <w:spacing/>
      <w:ind/>
    </w:pPr>
    <w:rPr>
      <w:lang w:val="ru-RU" w:eastAsia="ru-RU"/>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st Table 4 - Accent 1"/>
    <w:uiPriority w:val="99"/>
    <w:pPr>
      <w:pBdr/>
      <w:spacing/>
      <w:ind/>
    </w:pPr>
    <w:rPr>
      <w:lang w:val="ru-RU" w:eastAsia="ru-RU"/>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4 - Accent 2"/>
    <w:uiPriority w:val="99"/>
    <w:pPr>
      <w:pBdr/>
      <w:spacing/>
      <w:ind/>
    </w:pPr>
    <w:rPr>
      <w:lang w:val="ru-RU" w:eastAsia="ru-RU"/>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st Table 4 - Accent 3"/>
    <w:uiPriority w:val="99"/>
    <w:pPr>
      <w:pBdr/>
      <w:spacing/>
      <w:ind/>
    </w:pPr>
    <w:rPr>
      <w:lang w:val="ru-RU" w:eastAsia="ru-RU"/>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List Table 4 - Accent 4"/>
    <w:uiPriority w:val="99"/>
    <w:pPr>
      <w:pBdr/>
      <w:spacing/>
      <w:ind/>
    </w:pPr>
    <w:rPr>
      <w:lang w:val="ru-RU" w:eastAsia="ru-RU"/>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4 - Accent 5"/>
    <w:uiPriority w:val="99"/>
    <w:pPr>
      <w:pBdr/>
      <w:spacing/>
      <w:ind/>
    </w:pPr>
    <w:rPr>
      <w:lang w:val="ru-RU" w:eastAsia="ru-RU"/>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4 - Accent 6"/>
    <w:uiPriority w:val="99"/>
    <w:pPr>
      <w:pBdr/>
      <w:spacing/>
      <w:ind/>
    </w:pPr>
    <w:rPr>
      <w:lang w:val="ru-RU" w:eastAsia="ru-RU"/>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Таблиця-список 5 (темний)1"/>
    <w:uiPriority w:val="99"/>
    <w:pPr>
      <w:pBdr/>
      <w:spacing/>
      <w:ind/>
    </w:pPr>
    <w:rPr>
      <w:lang w:val="ru-RU" w:eastAsia="ru-RU"/>
    </w:rPr>
    <w:tblPr>
      <w:tblStyleRowBandSize w:val="1"/>
      <w:tblStyleColBandSize w:val="1"/>
      <w:tblBorders>
        <w:top w:val="single" w:color="7f7f7f" w:sz="32" w:space="0"/>
        <w:left w:val="single" w:color="7f7f7f" w:sz="32" w:space="0"/>
        <w:bottom w:val="single" w:color="7f7f7f" w:sz="32" w:space="0"/>
        <w:right w:val="single" w:color="7f7f7f" w:sz="3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5 Dark - Accent 1"/>
    <w:uiPriority w:val="99"/>
    <w:pPr>
      <w:pBdr/>
      <w:spacing/>
      <w:ind/>
    </w:pPr>
    <w:rPr>
      <w:lang w:val="ru-RU" w:eastAsia="ru-RU"/>
    </w:rPr>
    <w:tblPr>
      <w:tblStyleRowBandSize w:val="1"/>
      <w:tblStyleColBandSize w:val="1"/>
      <w:tblBorders>
        <w:top w:val="single" w:color="4f81bd" w:sz="32" w:space="0"/>
        <w:left w:val="single" w:color="4f81bd" w:sz="32" w:space="0"/>
        <w:bottom w:val="single" w:color="4f81bd" w:sz="32" w:space="0"/>
        <w:right w:val="single" w:color="4f81bd" w:sz="3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5 Dark - Accent 2"/>
    <w:uiPriority w:val="99"/>
    <w:pPr>
      <w:pBdr/>
      <w:spacing/>
      <w:ind/>
    </w:pPr>
    <w:rPr>
      <w:lang w:val="ru-RU" w:eastAsia="ru-RU"/>
    </w:rPr>
    <w:tblPr>
      <w:tblStyleRowBandSize w:val="1"/>
      <w:tblStyleColBandSize w:val="1"/>
      <w:tblBorders>
        <w:top w:val="single" w:color="d99695" w:sz="32" w:space="0"/>
        <w:left w:val="single" w:color="d99695" w:sz="32" w:space="0"/>
        <w:bottom w:val="single" w:color="d99695" w:sz="32" w:space="0"/>
        <w:right w:val="single" w:color="d99695" w:sz="3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5 Dark - Accent 3"/>
    <w:uiPriority w:val="99"/>
    <w:pPr>
      <w:pBdr/>
      <w:spacing/>
      <w:ind/>
    </w:pPr>
    <w:rPr>
      <w:lang w:val="ru-RU" w:eastAsia="ru-RU"/>
    </w:rPr>
    <w:tblPr>
      <w:tblStyleRowBandSize w:val="1"/>
      <w:tblStyleColBandSize w:val="1"/>
      <w:tblBorders>
        <w:top w:val="single" w:color="c3d69b" w:sz="32" w:space="0"/>
        <w:left w:val="single" w:color="c3d69b" w:sz="32" w:space="0"/>
        <w:bottom w:val="single" w:color="c3d69b" w:sz="32" w:space="0"/>
        <w:right w:val="single" w:color="c3d69b" w:sz="3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5 Dark - Accent 4"/>
    <w:uiPriority w:val="99"/>
    <w:pPr>
      <w:pBdr/>
      <w:spacing/>
      <w:ind/>
    </w:pPr>
    <w:rPr>
      <w:lang w:val="ru-RU" w:eastAsia="ru-RU"/>
    </w:rPr>
    <w:tblPr>
      <w:tblStyleRowBandSize w:val="1"/>
      <w:tblStyleColBandSize w:val="1"/>
      <w:tblBorders>
        <w:top w:val="single" w:color="b2a1c6" w:sz="32" w:space="0"/>
        <w:left w:val="single" w:color="b2a1c6" w:sz="32" w:space="0"/>
        <w:bottom w:val="single" w:color="b2a1c6" w:sz="32" w:space="0"/>
        <w:right w:val="single" w:color="b2a1c6" w:sz="3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5 Dark - Accent 5"/>
    <w:uiPriority w:val="99"/>
    <w:pPr>
      <w:pBdr/>
      <w:spacing/>
      <w:ind/>
    </w:pPr>
    <w:rPr>
      <w:lang w:val="ru-RU" w:eastAsia="ru-RU"/>
    </w:rPr>
    <w:tblPr>
      <w:tblStyleRowBandSize w:val="1"/>
      <w:tblStyleColBandSize w:val="1"/>
      <w:tblBorders>
        <w:top w:val="single" w:color="92ccdc" w:sz="32" w:space="0"/>
        <w:left w:val="single" w:color="92ccdc" w:sz="32" w:space="0"/>
        <w:bottom w:val="single" w:color="92ccdc" w:sz="32" w:space="0"/>
        <w:right w:val="single" w:color="92ccdc" w:sz="3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5 Dark - Accent 6"/>
    <w:uiPriority w:val="99"/>
    <w:pPr>
      <w:pBdr/>
      <w:spacing/>
      <w:ind/>
    </w:pPr>
    <w:rPr>
      <w:lang w:val="ru-RU" w:eastAsia="ru-RU"/>
    </w:rPr>
    <w:tblPr>
      <w:tblStyleRowBandSize w:val="1"/>
      <w:tblStyleColBandSize w:val="1"/>
      <w:tblBorders>
        <w:top w:val="single" w:color="fac090" w:sz="32" w:space="0"/>
        <w:left w:val="single" w:color="fac090" w:sz="32" w:space="0"/>
        <w:bottom w:val="single" w:color="fac090" w:sz="32" w:space="0"/>
        <w:right w:val="single" w:color="fac090" w:sz="3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Таблиця-список 6 (кольоровий)1"/>
    <w:uiPriority w:val="99"/>
    <w:pPr>
      <w:pBdr/>
      <w:spacing/>
      <w:ind/>
    </w:pPr>
    <w:rPr>
      <w:lang w:val="ru-RU" w:eastAsia="ru-RU"/>
    </w:rPr>
    <w:tblPr>
      <w:tblStyleRowBandSize w:val="1"/>
      <w:tblStyleColBandSize w:val="1"/>
      <w:tblBorders>
        <w:top w:val="single" w:color="7f7f7f" w:sz="4" w:space="0"/>
        <w:bottom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6 Colorful - Accent 1"/>
    <w:uiPriority w:val="99"/>
    <w:pPr>
      <w:pBdr/>
      <w:spacing/>
      <w:ind/>
    </w:pPr>
    <w:rPr>
      <w:lang w:val="ru-RU" w:eastAsia="ru-RU"/>
    </w:rPr>
    <w:tblPr>
      <w:tblStyleRowBandSize w:val="1"/>
      <w:tblStyleColBandSize w:val="1"/>
      <w:tblBorders>
        <w:top w:val="single" w:color="4f81bd" w:sz="4" w:space="0"/>
        <w:bottom w:val="single" w:color="4f81b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6 Colorful - Accent 2"/>
    <w:uiPriority w:val="99"/>
    <w:pPr>
      <w:pBdr/>
      <w:spacing/>
      <w:ind/>
    </w:pPr>
    <w:rPr>
      <w:lang w:val="ru-RU" w:eastAsia="ru-RU"/>
    </w:rPr>
    <w:tblPr>
      <w:tblStyleRowBandSize w:val="1"/>
      <w:tblStyleColBandSize w:val="1"/>
      <w:tblBorders>
        <w:top w:val="single" w:color="d99695" w:sz="4" w:space="0"/>
        <w:bottom w:val="single" w:color="d9969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6 Colorful - Accent 3"/>
    <w:uiPriority w:val="99"/>
    <w:pPr>
      <w:pBdr/>
      <w:spacing/>
      <w:ind/>
    </w:pPr>
    <w:rPr>
      <w:lang w:val="ru-RU" w:eastAsia="ru-RU"/>
    </w:rPr>
    <w:tblPr>
      <w:tblStyleRowBandSize w:val="1"/>
      <w:tblStyleColBandSize w:val="1"/>
      <w:tblBorders>
        <w:top w:val="single" w:color="c3d69b" w:sz="4" w:space="0"/>
        <w:bottom w:val="single" w:color="c3d69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6 Colorful - Accent 4"/>
    <w:uiPriority w:val="99"/>
    <w:pPr>
      <w:pBdr/>
      <w:spacing/>
      <w:ind/>
    </w:pPr>
    <w:rPr>
      <w:lang w:val="ru-RU" w:eastAsia="ru-RU"/>
    </w:rPr>
    <w:tblPr>
      <w:tblStyleRowBandSize w:val="1"/>
      <w:tblStyleColBandSize w:val="1"/>
      <w:tblBorders>
        <w:top w:val="single" w:color="b2a1c6" w:sz="4" w:space="0"/>
        <w:bottom w:val="single" w:color="b2a1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6 Colorful - Accent 5"/>
    <w:uiPriority w:val="99"/>
    <w:pPr>
      <w:pBdr/>
      <w:spacing/>
      <w:ind/>
    </w:pPr>
    <w:rPr>
      <w:lang w:val="ru-RU" w:eastAsia="ru-RU"/>
    </w:rPr>
    <w:tblPr>
      <w:tblStyleRowBandSize w:val="1"/>
      <w:tblStyleColBandSize w:val="1"/>
      <w:tblBorders>
        <w:top w:val="single" w:color="92ccdc" w:sz="4" w:space="0"/>
        <w:bottom w:val="single" w:color="92ccdc"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6 Colorful - Accent 6"/>
    <w:uiPriority w:val="99"/>
    <w:pPr>
      <w:pBdr/>
      <w:spacing/>
      <w:ind/>
    </w:pPr>
    <w:rPr>
      <w:lang w:val="ru-RU" w:eastAsia="ru-RU"/>
    </w:rPr>
    <w:tblPr>
      <w:tblStyleRowBandSize w:val="1"/>
      <w:tblStyleColBandSize w:val="1"/>
      <w:tblBorders>
        <w:top w:val="single" w:color="fac090" w:sz="4" w:space="0"/>
        <w:bottom w:val="single" w:color="fac09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Таблиця-список 7 (кольоровий)1"/>
    <w:uiPriority w:val="99"/>
    <w:pPr>
      <w:pBdr/>
      <w:spacing/>
      <w:ind/>
    </w:pPr>
    <w:rPr>
      <w:lang w:val="ru-RU" w:eastAsia="ru-RU"/>
    </w:rPr>
    <w:tblPr>
      <w:tblStyleRowBandSize w:val="1"/>
      <w:tblStyleColBandSize w:val="1"/>
      <w:tblBorders>
        <w:right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7 Colorful - Accent 1"/>
    <w:uiPriority w:val="99"/>
    <w:pPr>
      <w:pBdr/>
      <w:spacing/>
      <w:ind/>
    </w:pPr>
    <w:rPr>
      <w:lang w:val="ru-RU" w:eastAsia="ru-RU"/>
    </w:rPr>
    <w:tblPr>
      <w:tblStyleRowBandSize w:val="1"/>
      <w:tblStyleColBandSize w:val="1"/>
      <w:tblBorders>
        <w:right w:val="single" w:color="4f81b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7 Colorful - Accent 2"/>
    <w:uiPriority w:val="99"/>
    <w:pPr>
      <w:pBdr/>
      <w:spacing/>
      <w:ind/>
    </w:pPr>
    <w:rPr>
      <w:lang w:val="ru-RU" w:eastAsia="ru-RU"/>
    </w:rPr>
    <w:tblPr>
      <w:tblStyleRowBandSize w:val="1"/>
      <w:tblStyleColBandSize w:val="1"/>
      <w:tblBorders>
        <w:right w:val="single" w:color="d9969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7 Colorful - Accent 3"/>
    <w:uiPriority w:val="99"/>
    <w:pPr>
      <w:pBdr/>
      <w:spacing/>
      <w:ind/>
    </w:pPr>
    <w:rPr>
      <w:lang w:val="ru-RU" w:eastAsia="ru-RU"/>
    </w:rPr>
    <w:tblPr>
      <w:tblStyleRowBandSize w:val="1"/>
      <w:tblStyleColBandSize w:val="1"/>
      <w:tblBorders>
        <w:right w:val="single" w:color="c3d69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7 Colorful - Accent 4"/>
    <w:uiPriority w:val="99"/>
    <w:pPr>
      <w:pBdr/>
      <w:spacing/>
      <w:ind/>
    </w:pPr>
    <w:rPr>
      <w:lang w:val="ru-RU" w:eastAsia="ru-RU"/>
    </w:rPr>
    <w:tblPr>
      <w:tblStyleRowBandSize w:val="1"/>
      <w:tblStyleColBandSize w:val="1"/>
      <w:tblBorders>
        <w:right w:val="single" w:color="b2a1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7 Colorful - Accent 5"/>
    <w:uiPriority w:val="99"/>
    <w:pPr>
      <w:pBdr/>
      <w:spacing/>
      <w:ind/>
    </w:pPr>
    <w:rPr>
      <w:lang w:val="ru-RU" w:eastAsia="ru-RU"/>
    </w:rPr>
    <w:tblPr>
      <w:tblStyleRowBandSize w:val="1"/>
      <w:tblStyleColBandSize w:val="1"/>
      <w:tblBorders>
        <w:right w:val="single" w:color="92ccdc"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7 Colorful - Accent 6"/>
    <w:uiPriority w:val="99"/>
    <w:pPr>
      <w:pBdr/>
      <w:spacing/>
      <w:ind/>
    </w:pPr>
    <w:rPr>
      <w:lang w:val="ru-RU" w:eastAsia="ru-RU"/>
    </w:rPr>
    <w:tblPr>
      <w:tblStyleRowBandSize w:val="1"/>
      <w:tblStyleColBandSize w:val="1"/>
      <w:tblBorders>
        <w:right w:val="single" w:color="fac09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ned - Accent"/>
    <w:uiPriority w:val="99"/>
    <w:pPr>
      <w:pBdr/>
      <w:spacing/>
      <w:ind/>
    </w:pPr>
    <w:rPr>
      <w:color w:val="404040"/>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ned - Accent 1"/>
    <w:uiPriority w:val="99"/>
    <w:pPr>
      <w:pBdr/>
      <w:spacing/>
      <w:ind/>
    </w:pPr>
    <w:rPr>
      <w:color w:val="404040"/>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ned - Accent 2"/>
    <w:uiPriority w:val="99"/>
    <w:pPr>
      <w:pBdr/>
      <w:spacing/>
      <w:ind/>
    </w:pPr>
    <w:rPr>
      <w:color w:val="404040"/>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ned - Accent 3"/>
    <w:uiPriority w:val="99"/>
    <w:pPr>
      <w:pBdr/>
      <w:spacing/>
      <w:ind/>
    </w:pPr>
    <w:rPr>
      <w:color w:val="404040"/>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ned - Accent 4"/>
    <w:uiPriority w:val="99"/>
    <w:pPr>
      <w:pBdr/>
      <w:spacing/>
      <w:ind/>
    </w:pPr>
    <w:rPr>
      <w:color w:val="404040"/>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ned - Accent 5"/>
    <w:uiPriority w:val="99"/>
    <w:pPr>
      <w:pBdr/>
      <w:spacing/>
      <w:ind/>
    </w:pPr>
    <w:rPr>
      <w:color w:val="404040"/>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ned - Accent 6"/>
    <w:uiPriority w:val="99"/>
    <w:pPr>
      <w:pBdr/>
      <w:spacing/>
      <w:ind/>
    </w:pPr>
    <w:rPr>
      <w:color w:val="404040"/>
      <w:lang w:val="ru-RU"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Bordered &amp; Lined - Accent"/>
    <w:uiPriority w:val="99"/>
    <w:pPr>
      <w:pBdr/>
      <w:spacing/>
      <w:ind/>
    </w:pPr>
    <w:rPr>
      <w:color w:val="404040"/>
      <w:lang w:val="ru-RU" w:eastAsia="ru-RU"/>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Bordered &amp; Lined - Accent 1"/>
    <w:uiPriority w:val="99"/>
    <w:pPr>
      <w:pBdr/>
      <w:spacing/>
      <w:ind/>
    </w:pPr>
    <w:rPr>
      <w:color w:val="404040"/>
      <w:lang w:val="ru-RU" w:eastAsia="ru-RU"/>
    </w:rPr>
    <w:tblPr>
      <w:tblStyleRowBandSize w:val="1"/>
      <w:tblStyleColBandSize w:val="1"/>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Bordered &amp; Lined - Accent 2"/>
    <w:uiPriority w:val="99"/>
    <w:pPr>
      <w:pBdr/>
      <w:spacing/>
      <w:ind/>
    </w:pPr>
    <w:rPr>
      <w:color w:val="404040"/>
      <w:lang w:val="ru-RU" w:eastAsia="ru-RU"/>
    </w:rPr>
    <w:tblPr>
      <w:tblStyleRowBandSize w:val="1"/>
      <w:tblStyleColBandSize w:val="1"/>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Bordered &amp; Lined - Accent 3"/>
    <w:uiPriority w:val="99"/>
    <w:pPr>
      <w:pBdr/>
      <w:spacing/>
      <w:ind/>
    </w:pPr>
    <w:rPr>
      <w:color w:val="404040"/>
      <w:lang w:val="ru-RU" w:eastAsia="ru-RU"/>
    </w:rPr>
    <w:tblPr>
      <w:tblStyleRowBandSize w:val="1"/>
      <w:tblStyleColBandSize w:val="1"/>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Bordered &amp; Lined - Accent 4"/>
    <w:uiPriority w:val="99"/>
    <w:pPr>
      <w:pBdr/>
      <w:spacing/>
      <w:ind/>
    </w:pPr>
    <w:rPr>
      <w:color w:val="404040"/>
      <w:lang w:val="ru-RU" w:eastAsia="ru-RU"/>
    </w:rPr>
    <w:tblPr>
      <w:tblStyleRowBandSize w:val="1"/>
      <w:tblStyleColBandSize w:val="1"/>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Bordered &amp; Lined - Accent 5"/>
    <w:uiPriority w:val="99"/>
    <w:pPr>
      <w:pBdr/>
      <w:spacing/>
      <w:ind/>
    </w:pPr>
    <w:rPr>
      <w:color w:val="404040"/>
      <w:lang w:val="ru-RU" w:eastAsia="ru-RU"/>
    </w:rPr>
    <w:tblPr>
      <w:tblStyleRowBandSize w:val="1"/>
      <w:tblStyleColBandSize w:val="1"/>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Bordered &amp; Lined - Accent 6"/>
    <w:uiPriority w:val="99"/>
    <w:pPr>
      <w:pBdr/>
      <w:spacing/>
      <w:ind/>
    </w:pPr>
    <w:rPr>
      <w:color w:val="404040"/>
      <w:lang w:val="ru-RU" w:eastAsia="ru-RU"/>
    </w:rPr>
    <w:tblPr>
      <w:tblStyleRowBandSize w:val="1"/>
      <w:tblStyleColBandSize w:val="1"/>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Bordered"/>
    <w:uiPriority w:val="99"/>
    <w:pPr>
      <w:pBdr/>
      <w:spacing/>
      <w:ind/>
    </w:pPr>
    <w:rPr>
      <w:lang w:val="ru-RU" w:eastAsia="ru-RU"/>
    </w:r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Bordered - Accent 1"/>
    <w:uiPriority w:val="99"/>
    <w:pPr>
      <w:pBdr/>
      <w:spacing/>
      <w:ind/>
    </w:pPr>
    <w:rPr>
      <w:lang w:val="ru-RU" w:eastAsia="ru-RU"/>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Bordered - Accent 2"/>
    <w:uiPriority w:val="99"/>
    <w:pPr>
      <w:pBdr/>
      <w:spacing/>
      <w:ind/>
    </w:pPr>
    <w:rPr>
      <w:lang w:val="ru-RU" w:eastAsia="ru-RU"/>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Bordered - Accent 3"/>
    <w:uiPriority w:val="99"/>
    <w:pPr>
      <w:pBdr/>
      <w:spacing/>
      <w:ind/>
    </w:pPr>
    <w:rPr>
      <w:lang w:val="ru-RU" w:eastAsia="ru-RU"/>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Bordered - Accent 4"/>
    <w:uiPriority w:val="99"/>
    <w:pPr>
      <w:pBdr/>
      <w:spacing/>
      <w:ind/>
    </w:pPr>
    <w:rPr>
      <w:lang w:val="ru-RU" w:eastAsia="ru-RU"/>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Bordered - Accent 5"/>
    <w:uiPriority w:val="99"/>
    <w:pPr>
      <w:pBdr/>
      <w:spacing/>
      <w:ind/>
    </w:pPr>
    <w:rPr>
      <w:lang w:val="ru-RU" w:eastAsia="ru-RU"/>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Bordered - Accent 6"/>
    <w:uiPriority w:val="99"/>
    <w:pPr>
      <w:pBdr/>
      <w:spacing/>
      <w:ind/>
    </w:pPr>
    <w:rPr>
      <w:lang w:val="ru-RU" w:eastAsia="ru-RU"/>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7">
    <w:name w:val="Title"/>
    <w:basedOn w:val="709"/>
    <w:next w:val="709"/>
    <w:link w:val="858"/>
    <w:uiPriority w:val="99"/>
    <w:qFormat/>
    <w:pPr>
      <w:pBdr/>
      <w:spacing w:after="80"/>
      <w:ind/>
    </w:pPr>
    <w:rPr>
      <w:rFonts w:ascii="Arial" w:hAnsi="Arial" w:cs="Arial"/>
      <w:spacing w:val="-10"/>
      <w:sz w:val="56"/>
      <w:szCs w:val="56"/>
    </w:rPr>
  </w:style>
  <w:style w:type="character" w:styleId="858" w:customStyle="1">
    <w:name w:val="Назва Знак"/>
    <w:link w:val="857"/>
    <w:uiPriority w:val="99"/>
    <w:pPr>
      <w:pBdr/>
      <w:spacing/>
      <w:ind/>
    </w:pPr>
    <w:rPr>
      <w:rFonts w:ascii="Arial" w:hAnsi="Arial" w:cs="Arial"/>
      <w:spacing w:val="-10"/>
      <w:sz w:val="56"/>
      <w:szCs w:val="56"/>
    </w:rPr>
  </w:style>
  <w:style w:type="paragraph" w:styleId="859">
    <w:name w:val="Subtitle"/>
    <w:basedOn w:val="709"/>
    <w:next w:val="709"/>
    <w:link w:val="860"/>
    <w:uiPriority w:val="99"/>
    <w:qFormat/>
    <w:pPr>
      <w:numPr>
        <w:ilvl w:val="1"/>
      </w:numPr>
      <w:pBdr/>
      <w:spacing/>
      <w:ind/>
    </w:pPr>
    <w:rPr>
      <w:color w:val="595959"/>
      <w:spacing w:val="15"/>
      <w:sz w:val="28"/>
      <w:szCs w:val="28"/>
    </w:rPr>
  </w:style>
  <w:style w:type="character" w:styleId="860" w:customStyle="1">
    <w:name w:val="Підзаголовок Знак"/>
    <w:link w:val="859"/>
    <w:uiPriority w:val="99"/>
    <w:pPr>
      <w:pBdr/>
      <w:spacing/>
      <w:ind/>
    </w:pPr>
    <w:rPr>
      <w:rFonts w:cs="Times New Roman"/>
      <w:color w:val="595959"/>
      <w:spacing w:val="15"/>
      <w:sz w:val="28"/>
      <w:szCs w:val="28"/>
    </w:rPr>
  </w:style>
  <w:style w:type="paragraph" w:styleId="861">
    <w:name w:val="Quote"/>
    <w:basedOn w:val="709"/>
    <w:next w:val="709"/>
    <w:link w:val="862"/>
    <w:uiPriority w:val="99"/>
    <w:qFormat/>
    <w:pPr>
      <w:pBdr/>
      <w:spacing w:before="160"/>
      <w:ind/>
      <w:jc w:val="center"/>
    </w:pPr>
    <w:rPr>
      <w:i/>
      <w:iCs/>
      <w:color w:val="404040"/>
    </w:rPr>
  </w:style>
  <w:style w:type="character" w:styleId="862" w:customStyle="1">
    <w:name w:val="Цитата Знак"/>
    <w:link w:val="861"/>
    <w:uiPriority w:val="99"/>
    <w:pPr>
      <w:pBdr/>
      <w:spacing/>
      <w:ind/>
    </w:pPr>
    <w:rPr>
      <w:rFonts w:cs="Times New Roman"/>
      <w:i/>
      <w:iCs/>
      <w:color w:val="404040"/>
    </w:rPr>
  </w:style>
  <w:style w:type="character" w:styleId="863">
    <w:name w:val="Intense Emphasis"/>
    <w:uiPriority w:val="99"/>
    <w:qFormat/>
    <w:pPr>
      <w:pBdr/>
      <w:spacing/>
      <w:ind/>
    </w:pPr>
    <w:rPr>
      <w:rFonts w:cs="Times New Roman"/>
      <w:i/>
      <w:iCs/>
      <w:color w:val="365f91"/>
    </w:rPr>
  </w:style>
  <w:style w:type="paragraph" w:styleId="864">
    <w:name w:val="Intense Quote"/>
    <w:basedOn w:val="709"/>
    <w:next w:val="709"/>
    <w:link w:val="865"/>
    <w:uiPriority w:val="99"/>
    <w:qFormat/>
    <w:pPr>
      <w:pBdr>
        <w:top w:val="single" w:color="365f91" w:sz="4" w:space="10"/>
        <w:bottom w:val="single" w:color="365f91" w:sz="4" w:space="10"/>
      </w:pBdr>
      <w:spacing w:after="360" w:before="360"/>
      <w:ind w:right="864" w:left="864"/>
      <w:jc w:val="center"/>
    </w:pPr>
    <w:rPr>
      <w:i/>
      <w:iCs/>
      <w:color w:val="365f91"/>
    </w:rPr>
  </w:style>
  <w:style w:type="character" w:styleId="865" w:customStyle="1">
    <w:name w:val="Насичена цитата Знак"/>
    <w:link w:val="864"/>
    <w:uiPriority w:val="99"/>
    <w:pPr>
      <w:pBdr/>
      <w:spacing/>
      <w:ind/>
    </w:pPr>
    <w:rPr>
      <w:rFonts w:cs="Times New Roman"/>
      <w:i/>
      <w:iCs/>
      <w:color w:val="365f91"/>
    </w:rPr>
  </w:style>
  <w:style w:type="character" w:styleId="866">
    <w:name w:val="Intense Reference"/>
    <w:uiPriority w:val="99"/>
    <w:qFormat/>
    <w:pPr>
      <w:pBdr/>
      <w:spacing/>
      <w:ind/>
    </w:pPr>
    <w:rPr>
      <w:rFonts w:cs="Times New Roman"/>
      <w:b/>
      <w:bCs/>
      <w:smallCaps/>
      <w:color w:val="365f91"/>
      <w:spacing w:val="5"/>
    </w:rPr>
  </w:style>
  <w:style w:type="paragraph" w:styleId="867">
    <w:name w:val="No Spacing"/>
    <w:basedOn w:val="709"/>
    <w:uiPriority w:val="99"/>
    <w:qFormat/>
    <w:pPr>
      <w:pBdr/>
      <w:spacing/>
      <w:ind/>
    </w:pPr>
  </w:style>
  <w:style w:type="character" w:styleId="868">
    <w:name w:val="Subtle Emphasis"/>
    <w:uiPriority w:val="99"/>
    <w:qFormat/>
    <w:pPr>
      <w:pBdr/>
      <w:spacing/>
      <w:ind/>
    </w:pPr>
    <w:rPr>
      <w:rFonts w:cs="Times New Roman"/>
      <w:i/>
      <w:iCs/>
      <w:color w:val="404040"/>
    </w:rPr>
  </w:style>
  <w:style w:type="character" w:styleId="869">
    <w:name w:val="Strong"/>
    <w:uiPriority w:val="99"/>
    <w:qFormat/>
    <w:pPr>
      <w:pBdr/>
      <w:spacing/>
      <w:ind/>
    </w:pPr>
    <w:rPr>
      <w:rFonts w:cs="Times New Roman"/>
      <w:b/>
      <w:bCs/>
    </w:rPr>
  </w:style>
  <w:style w:type="character" w:styleId="870">
    <w:name w:val="Subtle Reference"/>
    <w:uiPriority w:val="99"/>
    <w:qFormat/>
    <w:pPr>
      <w:pBdr/>
      <w:spacing/>
      <w:ind/>
    </w:pPr>
    <w:rPr>
      <w:rFonts w:cs="Times New Roman"/>
      <w:smallCaps/>
      <w:color w:val="auto"/>
    </w:rPr>
  </w:style>
  <w:style w:type="character" w:styleId="871">
    <w:name w:val="Book Title"/>
    <w:uiPriority w:val="99"/>
    <w:qFormat/>
    <w:pPr>
      <w:pBdr/>
      <w:spacing/>
      <w:ind/>
    </w:pPr>
    <w:rPr>
      <w:rFonts w:cs="Times New Roman"/>
      <w:b/>
      <w:bCs/>
      <w:i/>
      <w:iCs/>
      <w:spacing w:val="5"/>
    </w:rPr>
  </w:style>
  <w:style w:type="character" w:styleId="872" w:customStyle="1">
    <w:name w:val="Header Char"/>
    <w:uiPriority w:val="99"/>
    <w:pPr>
      <w:pBdr/>
      <w:spacing/>
      <w:ind/>
    </w:pPr>
    <w:rPr>
      <w:rFonts w:cs="Times New Roman"/>
    </w:rPr>
  </w:style>
  <w:style w:type="character" w:styleId="873" w:customStyle="1">
    <w:name w:val="Footer Char"/>
    <w:uiPriority w:val="99"/>
    <w:pPr>
      <w:pBdr/>
      <w:spacing/>
      <w:ind/>
    </w:pPr>
  </w:style>
  <w:style w:type="paragraph" w:styleId="874">
    <w:name w:val="Caption"/>
    <w:basedOn w:val="709"/>
    <w:next w:val="709"/>
    <w:uiPriority w:val="99"/>
    <w:qFormat/>
    <w:pPr>
      <w:pBdr/>
      <w:spacing w:after="200"/>
      <w:ind/>
    </w:pPr>
    <w:rPr>
      <w:i/>
      <w:iCs/>
      <w:color w:val="1f497d"/>
      <w:sz w:val="18"/>
      <w:szCs w:val="18"/>
    </w:rPr>
  </w:style>
  <w:style w:type="paragraph" w:styleId="875">
    <w:name w:val="footnote text"/>
    <w:basedOn w:val="709"/>
    <w:link w:val="876"/>
    <w:uiPriority w:val="99"/>
    <w:semiHidden/>
    <w:pPr>
      <w:pBdr/>
      <w:spacing/>
      <w:ind/>
    </w:pPr>
  </w:style>
  <w:style w:type="character" w:styleId="876" w:customStyle="1">
    <w:name w:val="Текст виноски Знак"/>
    <w:link w:val="875"/>
    <w:uiPriority w:val="99"/>
    <w:semiHidden/>
    <w:pPr>
      <w:pBdr/>
      <w:spacing/>
      <w:ind/>
    </w:pPr>
    <w:rPr>
      <w:rFonts w:cs="Times New Roman"/>
      <w:sz w:val="20"/>
      <w:szCs w:val="20"/>
    </w:rPr>
  </w:style>
  <w:style w:type="character" w:styleId="877">
    <w:name w:val="footnote reference"/>
    <w:uiPriority w:val="99"/>
    <w:semiHidden/>
    <w:pPr>
      <w:pBdr/>
      <w:spacing/>
      <w:ind/>
    </w:pPr>
    <w:rPr>
      <w:rFonts w:cs="Times New Roman"/>
      <w:vertAlign w:val="superscript"/>
    </w:rPr>
  </w:style>
  <w:style w:type="paragraph" w:styleId="878">
    <w:name w:val="endnote text"/>
    <w:basedOn w:val="709"/>
    <w:link w:val="879"/>
    <w:uiPriority w:val="99"/>
    <w:semiHidden/>
    <w:pPr>
      <w:pBdr/>
      <w:spacing/>
      <w:ind/>
    </w:pPr>
  </w:style>
  <w:style w:type="character" w:styleId="879" w:customStyle="1">
    <w:name w:val="Текст кінцевої виноски Знак"/>
    <w:link w:val="878"/>
    <w:uiPriority w:val="99"/>
    <w:semiHidden/>
    <w:pPr>
      <w:pBdr/>
      <w:spacing/>
      <w:ind/>
    </w:pPr>
    <w:rPr>
      <w:rFonts w:cs="Times New Roman"/>
      <w:sz w:val="20"/>
      <w:szCs w:val="20"/>
    </w:rPr>
  </w:style>
  <w:style w:type="character" w:styleId="880">
    <w:name w:val="endnote reference"/>
    <w:uiPriority w:val="99"/>
    <w:semiHidden/>
    <w:pPr>
      <w:pBdr/>
      <w:spacing/>
      <w:ind/>
    </w:pPr>
    <w:rPr>
      <w:rFonts w:cs="Times New Roman"/>
      <w:vertAlign w:val="superscript"/>
    </w:rPr>
  </w:style>
  <w:style w:type="character" w:styleId="881">
    <w:name w:val="FollowedHyperlink"/>
    <w:uiPriority w:val="99"/>
    <w:semiHidden/>
    <w:pPr>
      <w:pBdr/>
      <w:spacing/>
      <w:ind/>
    </w:pPr>
    <w:rPr>
      <w:rFonts w:cs="Times New Roman"/>
      <w:color w:val="800080"/>
      <w:u w:val="single"/>
    </w:rPr>
  </w:style>
  <w:style w:type="paragraph" w:styleId="882">
    <w:name w:val="TOC Heading"/>
    <w:basedOn w:val="710"/>
    <w:uiPriority w:val="99"/>
    <w:qFormat/>
    <w:pPr>
      <w:keepNext w:val="false"/>
      <w:pBdr/>
      <w:spacing/>
      <w:ind w:firstLine="0"/>
      <w:jc w:val="left"/>
      <w:outlineLvl w:val="9"/>
    </w:pPr>
    <w:rPr>
      <w:b w:val="0"/>
      <w:i w:val="0"/>
      <w:sz w:val="20"/>
      <w:lang w:val="ru-RU"/>
    </w:rPr>
  </w:style>
  <w:style w:type="paragraph" w:styleId="883">
    <w:name w:val="table of figures"/>
    <w:basedOn w:val="709"/>
    <w:next w:val="709"/>
    <w:uiPriority w:val="99"/>
    <w:semiHidden/>
    <w:pPr>
      <w:pBdr/>
      <w:spacing/>
      <w:ind/>
    </w:pPr>
  </w:style>
  <w:style w:type="paragraph" w:styleId="884">
    <w:name w:val="Header"/>
    <w:basedOn w:val="709"/>
    <w:link w:val="885"/>
    <w:uiPriority w:val="99"/>
    <w:pPr>
      <w:pBdr/>
      <w:tabs>
        <w:tab w:val="center" w:leader="none" w:pos="4677"/>
        <w:tab w:val="right" w:leader="none" w:pos="9355"/>
      </w:tabs>
      <w:spacing/>
      <w:ind/>
    </w:pPr>
  </w:style>
  <w:style w:type="character" w:styleId="885" w:customStyle="1">
    <w:name w:val="Верхній колонтитул Знак"/>
    <w:link w:val="884"/>
    <w:uiPriority w:val="99"/>
    <w:pPr>
      <w:pBdr/>
      <w:spacing/>
      <w:ind/>
    </w:pPr>
    <w:rPr>
      <w:rFonts w:cs="Times New Roman"/>
      <w:lang w:val="uk-UA"/>
    </w:rPr>
  </w:style>
  <w:style w:type="character" w:styleId="886">
    <w:name w:val="page number"/>
    <w:uiPriority w:val="99"/>
    <w:pPr>
      <w:pBdr/>
      <w:spacing/>
      <w:ind/>
    </w:pPr>
    <w:rPr>
      <w:rFonts w:cs="Times New Roman"/>
    </w:rPr>
  </w:style>
  <w:style w:type="paragraph" w:styleId="887">
    <w:name w:val="Footer"/>
    <w:basedOn w:val="709"/>
    <w:link w:val="888"/>
    <w:uiPriority w:val="99"/>
    <w:pPr>
      <w:pBdr/>
      <w:tabs>
        <w:tab w:val="center" w:leader="none" w:pos="4677"/>
        <w:tab w:val="right" w:leader="none" w:pos="9355"/>
      </w:tabs>
      <w:spacing/>
      <w:ind/>
    </w:pPr>
    <w:rPr>
      <w:lang w:val="ru-RU" w:eastAsia="zh-CN"/>
    </w:rPr>
  </w:style>
  <w:style w:type="character" w:styleId="888" w:customStyle="1">
    <w:name w:val="Нижній колонтитул Знак"/>
    <w:link w:val="887"/>
    <w:uiPriority w:val="99"/>
    <w:semiHidden/>
    <w:pPr>
      <w:pBdr/>
      <w:spacing/>
      <w:ind/>
    </w:pPr>
    <w:rPr>
      <w:rFonts w:cs="Times New Roman"/>
      <w:sz w:val="20"/>
      <w:szCs w:val="20"/>
      <w:lang w:val="uk-UA"/>
    </w:rPr>
  </w:style>
  <w:style w:type="paragraph" w:styleId="889">
    <w:name w:val="Body Text"/>
    <w:basedOn w:val="709"/>
    <w:link w:val="890"/>
    <w:uiPriority w:val="99"/>
    <w:pPr>
      <w:pBdr/>
      <w:spacing/>
      <w:ind/>
      <w:jc w:val="both"/>
    </w:pPr>
    <w:rPr>
      <w:sz w:val="28"/>
      <w:szCs w:val="28"/>
    </w:rPr>
  </w:style>
  <w:style w:type="character" w:styleId="890" w:customStyle="1">
    <w:name w:val="Основний текст Знак"/>
    <w:link w:val="889"/>
    <w:uiPriority w:val="99"/>
    <w:pPr>
      <w:pBdr/>
      <w:spacing/>
      <w:ind/>
    </w:pPr>
    <w:rPr>
      <w:rFonts w:cs="Times New Roman"/>
      <w:sz w:val="28"/>
      <w:lang w:val="uk-UA" w:eastAsia="ru-RU"/>
    </w:rPr>
  </w:style>
  <w:style w:type="paragraph" w:styleId="891">
    <w:name w:val="Balloon Text"/>
    <w:basedOn w:val="709"/>
    <w:link w:val="892"/>
    <w:uiPriority w:val="99"/>
    <w:semiHidden/>
    <w:pPr>
      <w:pBdr/>
      <w:spacing/>
      <w:ind/>
    </w:pPr>
    <w:rPr>
      <w:rFonts w:ascii="Tahoma" w:hAnsi="Tahoma"/>
      <w:sz w:val="16"/>
      <w:szCs w:val="16"/>
      <w:lang w:eastAsia="zh-CN"/>
    </w:rPr>
  </w:style>
  <w:style w:type="character" w:styleId="892" w:customStyle="1">
    <w:name w:val="Текст у виносці Знак"/>
    <w:link w:val="891"/>
    <w:uiPriority w:val="99"/>
    <w:pPr>
      <w:pBdr/>
      <w:spacing/>
      <w:ind/>
    </w:pPr>
    <w:rPr>
      <w:rFonts w:ascii="Tahoma" w:hAnsi="Tahoma" w:cs="Times New Roman"/>
      <w:sz w:val="16"/>
      <w:lang w:val="uk-UA"/>
    </w:rPr>
  </w:style>
  <w:style w:type="character" w:styleId="893" w:customStyle="1">
    <w:name w:val="Основний текст_ Знак"/>
    <w:link w:val="894"/>
    <w:uiPriority w:val="99"/>
    <w:pPr>
      <w:pBdr/>
      <w:spacing/>
      <w:ind/>
    </w:pPr>
    <w:rPr>
      <w:rFonts w:eastAsia="Times New Roman"/>
      <w:spacing w:val="6"/>
      <w:sz w:val="25"/>
      <w:shd w:val="clear" w:color="auto" w:fill="ffffff"/>
    </w:rPr>
  </w:style>
  <w:style w:type="paragraph" w:styleId="894" w:customStyle="1">
    <w:name w:val="Основний текст_"/>
    <w:basedOn w:val="709"/>
    <w:link w:val="893"/>
    <w:uiPriority w:val="99"/>
    <w:pPr>
      <w:widowControl w:val="false"/>
      <w:pBdr/>
      <w:shd w:val="clear" w:color="auto" w:fill="ffffff"/>
      <w:spacing w:after="300" w:before="720" w:line="240" w:lineRule="atLeast"/>
      <w:ind w:firstLine="560"/>
      <w:jc w:val="both"/>
    </w:pPr>
    <w:rPr>
      <w:spacing w:val="6"/>
      <w:sz w:val="25"/>
      <w:lang w:val="ru-RU" w:eastAsia="zh-CN"/>
    </w:rPr>
  </w:style>
  <w:style w:type="paragraph" w:styleId="895">
    <w:name w:val="Normal (Web)"/>
    <w:basedOn w:val="709"/>
    <w:uiPriority w:val="99"/>
    <w:semiHidden/>
    <w:pPr>
      <w:pBdr/>
      <w:spacing w:after="100" w:afterAutospacing="1" w:before="100" w:beforeAutospacing="1"/>
      <w:ind/>
    </w:pPr>
    <w:rPr>
      <w:sz w:val="24"/>
      <w:szCs w:val="24"/>
      <w:lang w:eastAsia="uk-UA"/>
    </w:rPr>
  </w:style>
  <w:style w:type="character" w:styleId="896">
    <w:name w:val="Emphasis"/>
    <w:uiPriority w:val="99"/>
    <w:qFormat/>
    <w:pPr>
      <w:pBdr/>
      <w:spacing/>
      <w:ind/>
    </w:pPr>
    <w:rPr>
      <w:rFonts w:cs="Times New Roman"/>
      <w:i/>
      <w:iCs/>
    </w:rPr>
  </w:style>
  <w:style w:type="paragraph" w:styleId="897">
    <w:name w:val="List Paragraph"/>
    <w:basedOn w:val="709"/>
    <w:uiPriority w:val="99"/>
    <w:qFormat/>
    <w:pPr>
      <w:pBdr/>
      <w:spacing/>
      <w:ind w:left="720"/>
    </w:pPr>
  </w:style>
  <w:style w:type="character" w:styleId="898">
    <w:name w:val="Hyperlink"/>
    <w:uiPriority w:val="99"/>
    <w:pPr>
      <w:pBdr/>
      <w:spacing/>
      <w:ind/>
    </w:pPr>
    <w:rPr>
      <w:rFonts w:cs="Times New Roman"/>
      <w:color w:val="0000ff"/>
      <w:u w:val="single"/>
    </w:rPr>
  </w:style>
  <w:style w:type="paragraph" w:styleId="899" w:customStyle="1">
    <w:name w:val="Знак Знак Знак Знак Знак Знак Знак Знак Знак Знак1 Знак Знак Знак Знак Знак"/>
    <w:basedOn w:val="709"/>
    <w:uiPriority w:val="99"/>
    <w:pPr>
      <w:pBdr/>
      <w:spacing/>
      <w:ind/>
    </w:pPr>
    <w:rPr>
      <w:rFonts w:ascii="Verdana" w:hAnsi="Verdana" w:cs="Verdana"/>
      <w:lang w:val="en-US" w:eastAsia="en-US"/>
    </w:rPr>
  </w:style>
  <w:style w:type="paragraph" w:styleId="900" w:customStyle="1">
    <w:name w:val="rvps2"/>
    <w:basedOn w:val="709"/>
    <w:uiPriority w:val="99"/>
    <w:pPr>
      <w:pBdr/>
      <w:spacing w:after="100" w:afterAutospacing="1" w:before="100" w:beforeAutospacing="1"/>
      <w:ind/>
    </w:pPr>
    <w:rPr>
      <w:rFonts w:eastAsia="SimSun"/>
      <w:sz w:val="24"/>
      <w:szCs w:val="24"/>
      <w:lang w:val="ru-RU" w:eastAsia="zh-CN"/>
    </w:rPr>
  </w:style>
  <w:style w:type="paragraph" w:styleId="901" w:customStyle="1">
    <w:name w:val="ДинРазделОбыч"/>
    <w:basedOn w:val="709"/>
    <w:uiPriority w:val="99"/>
    <w:pPr>
      <w:widowControl w:val="false"/>
      <w:pBdr/>
      <w:spacing/>
      <w:ind/>
      <w:jc w:val="both"/>
    </w:pPr>
    <w:rPr>
      <w:b/>
      <w:color w:val="000000"/>
      <w:sz w:val="28"/>
      <w:szCs w:val="28"/>
    </w:rPr>
  </w:style>
  <w:style w:type="character" w:styleId="902">
    <w:name w:val="Unresolved Mention"/>
    <w:basedOn w:val="719"/>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https://zakon.rada.gov.ua/laws/show/1932-12" TargetMode="External"/><Relationship Id="rId12" Type="http://schemas.openxmlformats.org/officeDocument/2006/relationships/hyperlink" Target="https://zakon.rada.gov.ua/laws/show/1597-98-%D0%BF" TargetMode="External"/><Relationship Id="rId13"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 Id="rId15" Type="http://schemas.openxmlformats.org/officeDocument/2006/relationships/hyperlink" Target="https://zakon.rada.gov.ua/laws/show/3551-12" TargetMode="External"/><Relationship Id="rId16" Type="http://schemas.openxmlformats.org/officeDocument/2006/relationships/hyperlink" Target="https://zakon.rada.gov.ua/laws/show/z1668-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ADM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keywords/>
  <dc:description/>
  <cp:lastModifiedBy>Anonymous</cp:lastModifiedBy>
  <cp:revision>32</cp:revision>
  <dcterms:created xsi:type="dcterms:W3CDTF">2025-02-04T14:46:00Z</dcterms:created>
  <dcterms:modified xsi:type="dcterms:W3CDTF">2025-03-04T08:18:48Z</dcterms:modified>
</cp:coreProperties>
</file>